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51B5F30" w:rsidR="00A209D6" w:rsidRPr="00B266B0" w:rsidRDefault="00A209D6" w:rsidP="00F263B8">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C1B7B">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F85CBF">
        <w:rPr>
          <w:bCs/>
          <w:noProof w:val="0"/>
          <w:sz w:val="24"/>
          <w:szCs w:val="24"/>
        </w:rPr>
        <w:t>7522</w:t>
      </w:r>
    </w:p>
    <w:p w14:paraId="11776FA6" w14:textId="660A437B" w:rsidR="00A209D6" w:rsidRPr="00465587" w:rsidRDefault="009928A9" w:rsidP="00F263B8">
      <w:pPr>
        <w:pStyle w:val="Header"/>
        <w:tabs>
          <w:tab w:val="right" w:pos="9639"/>
        </w:tabs>
        <w:jc w:val="both"/>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23740">
        <w:rPr>
          <w:rFonts w:eastAsia="SimSun"/>
          <w:bCs/>
          <w:sz w:val="24"/>
          <w:szCs w:val="24"/>
          <w:lang w:eastAsia="zh-CN"/>
        </w:rPr>
        <w:t>1</w:t>
      </w:r>
      <w:r w:rsidR="002C1B7B">
        <w:rPr>
          <w:rFonts w:eastAsia="SimSun"/>
          <w:bCs/>
          <w:sz w:val="24"/>
          <w:szCs w:val="24"/>
          <w:lang w:eastAsia="zh-CN"/>
        </w:rPr>
        <w:t>6</w:t>
      </w:r>
      <w:r w:rsidR="00923740">
        <w:rPr>
          <w:rFonts w:eastAsia="SimSun"/>
          <w:bCs/>
          <w:sz w:val="24"/>
          <w:szCs w:val="24"/>
          <w:lang w:eastAsia="zh-CN"/>
        </w:rPr>
        <w:t xml:space="preserve"> – 2</w:t>
      </w:r>
      <w:r w:rsidR="003C531A">
        <w:rPr>
          <w:rFonts w:eastAsia="SimSun"/>
          <w:bCs/>
          <w:sz w:val="24"/>
          <w:szCs w:val="24"/>
          <w:lang w:eastAsia="zh-CN"/>
        </w:rPr>
        <w:t>7</w:t>
      </w:r>
      <w:r w:rsidR="00923740">
        <w:rPr>
          <w:rFonts w:eastAsia="SimSun"/>
          <w:bCs/>
          <w:sz w:val="24"/>
          <w:szCs w:val="24"/>
          <w:lang w:eastAsia="zh-CN"/>
        </w:rPr>
        <w:t xml:space="preserve"> of </w:t>
      </w:r>
      <w:r w:rsidR="002C1B7B">
        <w:rPr>
          <w:rFonts w:eastAsia="SimSun"/>
          <w:bCs/>
          <w:sz w:val="24"/>
          <w:szCs w:val="24"/>
          <w:lang w:eastAsia="zh-CN"/>
        </w:rPr>
        <w:t>August</w:t>
      </w:r>
      <w:r w:rsidR="00923740">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F263B8">
      <w:pPr>
        <w:pStyle w:val="Header"/>
        <w:jc w:val="both"/>
        <w:rPr>
          <w:bCs/>
          <w:noProof w:val="0"/>
          <w:sz w:val="24"/>
        </w:rPr>
      </w:pPr>
    </w:p>
    <w:p w14:paraId="403CB9C0" w14:textId="77777777" w:rsidR="00A209D6" w:rsidRPr="00B266B0" w:rsidRDefault="00A209D6" w:rsidP="00F263B8">
      <w:pPr>
        <w:pStyle w:val="Header"/>
        <w:jc w:val="both"/>
        <w:rPr>
          <w:bCs/>
          <w:noProof w:val="0"/>
          <w:sz w:val="24"/>
        </w:rPr>
      </w:pPr>
    </w:p>
    <w:p w14:paraId="74AEDB1B" w14:textId="66BCCFDA" w:rsidR="00A209D6" w:rsidRPr="00B266B0" w:rsidRDefault="00A209D6" w:rsidP="00F263B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923740">
        <w:rPr>
          <w:rFonts w:cs="Arial"/>
          <w:b/>
          <w:bCs/>
          <w:sz w:val="24"/>
          <w:lang w:eastAsia="ja-JP"/>
        </w:rPr>
        <w:t>8.10.3.</w:t>
      </w:r>
      <w:r w:rsidR="00C91605">
        <w:rPr>
          <w:rFonts w:cs="Arial"/>
          <w:b/>
          <w:bCs/>
          <w:sz w:val="24"/>
          <w:lang w:eastAsia="ja-JP"/>
        </w:rPr>
        <w:t>3</w:t>
      </w:r>
    </w:p>
    <w:p w14:paraId="73188B46" w14:textId="77777777" w:rsidR="00A209D6" w:rsidRPr="00B266B0" w:rsidRDefault="00A209D6" w:rsidP="00F263B8">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A057485" w:rsidR="00A209D6" w:rsidRDefault="00A209D6" w:rsidP="00F263B8">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1B7B">
        <w:rPr>
          <w:rFonts w:ascii="Arial" w:hAnsi="Arial" w:cs="Arial"/>
          <w:b/>
          <w:bCs/>
          <w:sz w:val="24"/>
        </w:rPr>
        <w:t>Even f</w:t>
      </w:r>
      <w:r w:rsidR="003C531A">
        <w:rPr>
          <w:rFonts w:ascii="Arial" w:hAnsi="Arial" w:cs="Arial"/>
          <w:b/>
          <w:bCs/>
          <w:sz w:val="24"/>
        </w:rPr>
        <w:t>urther thoughts on</w:t>
      </w:r>
      <w:r w:rsidR="00923740">
        <w:rPr>
          <w:rFonts w:ascii="Arial" w:hAnsi="Arial" w:cs="Arial"/>
          <w:b/>
          <w:bCs/>
          <w:sz w:val="24"/>
        </w:rPr>
        <w:t xml:space="preserve"> mobility </w:t>
      </w:r>
      <w:r w:rsidR="003C531A">
        <w:rPr>
          <w:rFonts w:ascii="Arial" w:hAnsi="Arial" w:cs="Arial"/>
          <w:b/>
          <w:bCs/>
          <w:sz w:val="24"/>
        </w:rPr>
        <w:t>in</w:t>
      </w:r>
      <w:r w:rsidR="00923740">
        <w:rPr>
          <w:rFonts w:ascii="Arial" w:hAnsi="Arial" w:cs="Arial"/>
          <w:b/>
          <w:bCs/>
          <w:sz w:val="24"/>
        </w:rPr>
        <w:t xml:space="preserve"> NTN</w:t>
      </w:r>
    </w:p>
    <w:p w14:paraId="1F147C23" w14:textId="486427EC" w:rsidR="00A209D6" w:rsidRPr="00B266B0" w:rsidRDefault="00A209D6" w:rsidP="00F263B8">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23740">
        <w:rPr>
          <w:rFonts w:ascii="Arial" w:hAnsi="Arial" w:cs="Arial"/>
          <w:b/>
          <w:bCs/>
          <w:sz w:val="24"/>
        </w:rPr>
        <w:t>NR_NTN_solutions</w:t>
      </w:r>
      <w:proofErr w:type="spellEnd"/>
      <w:r w:rsidR="00923740">
        <w:rPr>
          <w:rFonts w:ascii="Arial" w:hAnsi="Arial" w:cs="Arial"/>
          <w:b/>
          <w:bCs/>
          <w:sz w:val="24"/>
        </w:rPr>
        <w:t>-Core - Release 17</w:t>
      </w:r>
    </w:p>
    <w:p w14:paraId="6FEB19D6" w14:textId="77777777" w:rsidR="00A209D6" w:rsidRPr="00B266B0" w:rsidRDefault="00A209D6" w:rsidP="00F263B8">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F263B8">
      <w:pPr>
        <w:pStyle w:val="Heading1"/>
        <w:jc w:val="both"/>
      </w:pPr>
      <w:r w:rsidRPr="006E13D1">
        <w:t>1</w:t>
      </w:r>
      <w:r w:rsidRPr="006E13D1">
        <w:tab/>
      </w:r>
      <w:r>
        <w:t>Introduction</w:t>
      </w:r>
    </w:p>
    <w:p w14:paraId="50F2C746" w14:textId="0257AFAF" w:rsidR="00923740" w:rsidRDefault="00923740" w:rsidP="00F263B8">
      <w:pPr>
        <w:jc w:val="both"/>
      </w:pPr>
      <w:r>
        <w:t>Connected mode mobility for NTN has been discussed at RAN2</w:t>
      </w:r>
      <w:r w:rsidRPr="00796DCD">
        <w:t>#</w:t>
      </w:r>
      <w:r>
        <w:t xml:space="preserve">113 via offline thread [106], report available in [1]. </w:t>
      </w:r>
      <w:r w:rsidR="003C531A">
        <w:t>T</w:t>
      </w:r>
      <w:r w:rsidR="00AC45D6">
        <w:t>he</w:t>
      </w:r>
      <w:r w:rsidR="00B71370">
        <w:t>re was virtually no decision taken as a result of this discussion. The sole agreement looks as follows:</w:t>
      </w:r>
    </w:p>
    <w:tbl>
      <w:tblPr>
        <w:tblStyle w:val="TableGrid"/>
        <w:tblW w:w="0" w:type="auto"/>
        <w:tblLook w:val="04A0" w:firstRow="1" w:lastRow="0" w:firstColumn="1" w:lastColumn="0" w:noHBand="0" w:noVBand="1"/>
      </w:tblPr>
      <w:tblGrid>
        <w:gridCol w:w="9631"/>
      </w:tblGrid>
      <w:tr w:rsidR="00B71370" w14:paraId="77351A2F" w14:textId="77777777" w:rsidTr="00B71370">
        <w:tc>
          <w:tcPr>
            <w:tcW w:w="9631" w:type="dxa"/>
          </w:tcPr>
          <w:p w14:paraId="0ACA90C6" w14:textId="77777777" w:rsidR="00C219A0" w:rsidRDefault="00C219A0" w:rsidP="00F263B8">
            <w:pPr>
              <w:jc w:val="both"/>
            </w:pPr>
            <w:r>
              <w:t>Agreements:</w:t>
            </w:r>
          </w:p>
          <w:p w14:paraId="3C788939" w14:textId="1820A1EC" w:rsidR="00B71370" w:rsidRDefault="00C219A0" w:rsidP="00F263B8">
            <w:pPr>
              <w:jc w:val="both"/>
            </w:pPr>
            <w:r>
              <w:t>1.</w:t>
            </w:r>
            <w:r>
              <w:tab/>
              <w:t>Support A4 event for NTN CHO. FFS whether other triggers need to be combined with this.</w:t>
            </w:r>
          </w:p>
        </w:tc>
      </w:tr>
    </w:tbl>
    <w:p w14:paraId="6107FFF1" w14:textId="476C3DEE" w:rsidR="003C531A" w:rsidRDefault="00C219A0" w:rsidP="00F263B8">
      <w:pPr>
        <w:jc w:val="both"/>
      </w:pPr>
      <w:r>
        <w:br/>
      </w:r>
      <w:r w:rsidR="003C531A">
        <w:t>After several rounds of discussion</w:t>
      </w:r>
      <w:r w:rsidR="0057728A">
        <w:t xml:space="preserve"> [2]</w:t>
      </w:r>
      <w:r w:rsidR="003C531A">
        <w:t xml:space="preserve"> at RAN2</w:t>
      </w:r>
      <w:r w:rsidR="003C531A" w:rsidRPr="00796DCD">
        <w:t>#</w:t>
      </w:r>
      <w:r w:rsidR="003C531A">
        <w:t>113bis</w:t>
      </w:r>
      <w:r w:rsidR="0008138E">
        <w:t xml:space="preserve"> (April 2021)</w:t>
      </w:r>
      <w:r w:rsidR="003C531A">
        <w:t>, the following further agreements were made [</w:t>
      </w:r>
      <w:r w:rsidR="0057728A">
        <w:t>3</w:t>
      </w:r>
      <w:r w:rsidR="003C531A">
        <w:t>]:</w:t>
      </w:r>
    </w:p>
    <w:tbl>
      <w:tblPr>
        <w:tblStyle w:val="TableGrid"/>
        <w:tblW w:w="0" w:type="auto"/>
        <w:tblLook w:val="04A0" w:firstRow="1" w:lastRow="0" w:firstColumn="1" w:lastColumn="0" w:noHBand="0" w:noVBand="1"/>
      </w:tblPr>
      <w:tblGrid>
        <w:gridCol w:w="9631"/>
      </w:tblGrid>
      <w:tr w:rsidR="003C531A" w14:paraId="46E8D08E" w14:textId="77777777" w:rsidTr="003C531A">
        <w:tc>
          <w:tcPr>
            <w:tcW w:w="9631" w:type="dxa"/>
          </w:tcPr>
          <w:p w14:paraId="07BA99B1" w14:textId="77777777" w:rsidR="0057728A" w:rsidRDefault="0057728A" w:rsidP="00F263B8">
            <w:pPr>
              <w:jc w:val="both"/>
            </w:pPr>
            <w:r>
              <w:t>Agreements:</w:t>
            </w:r>
          </w:p>
          <w:p w14:paraId="1CA6DAC4" w14:textId="77777777" w:rsidR="0057728A" w:rsidRDefault="0057728A" w:rsidP="00F263B8">
            <w:pPr>
              <w:jc w:val="both"/>
            </w:pPr>
            <w:r>
              <w:t>1.</w:t>
            </w:r>
            <w:r>
              <w:tab/>
              <w:t>Timing information in CHO execution triggering for NTN describes the time after which the UE is allowed to execute CHO to the candidate target cell.</w:t>
            </w:r>
          </w:p>
          <w:p w14:paraId="48236546" w14:textId="77777777" w:rsidR="0057728A" w:rsidRDefault="0057728A" w:rsidP="00F263B8">
            <w:pPr>
              <w:jc w:val="both"/>
            </w:pPr>
            <w:r>
              <w:t>2.</w:t>
            </w:r>
            <w: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254443C6" w14:textId="10F100A1" w:rsidR="003C531A" w:rsidRDefault="0057728A" w:rsidP="00F263B8">
            <w:pPr>
              <w:jc w:val="both"/>
            </w:pPr>
            <w:r>
              <w:t>3.</w:t>
            </w:r>
            <w:r>
              <w:tab/>
              <w:t>The location in location-based CHO execution triggering for NTN describes the distance between the UE and the reference location of the cell (serving cell or the target cell). FFS what the reference location of the cell is (</w:t>
            </w:r>
            <w:proofErr w:type="spellStart"/>
            <w:r>
              <w:t>e.g</w:t>
            </w:r>
            <w:proofErr w:type="spellEnd"/>
            <w:r>
              <w:t xml:space="preserve"> cell </w:t>
            </w:r>
            <w:proofErr w:type="spellStart"/>
            <w:r>
              <w:t>center</w:t>
            </w:r>
            <w:proofErr w:type="spellEnd"/>
            <w:r>
              <w:t xml:space="preserve"> or other) and how this is provided to the UE</w:t>
            </w:r>
          </w:p>
        </w:tc>
      </w:tr>
    </w:tbl>
    <w:p w14:paraId="2968391E" w14:textId="7A55B688" w:rsidR="002C1B7B" w:rsidRDefault="003C531A" w:rsidP="00F263B8">
      <w:pPr>
        <w:jc w:val="both"/>
      </w:pPr>
      <w:r>
        <w:br/>
      </w:r>
      <w:r w:rsidR="002C1B7B">
        <w:t>The following was further decided at RAN2</w:t>
      </w:r>
      <w:r w:rsidR="002C1B7B" w:rsidRPr="00796DCD">
        <w:t>#</w:t>
      </w:r>
      <w:r w:rsidR="002C1B7B">
        <w:t>114 (May 2021)</w:t>
      </w:r>
      <w:r w:rsidR="0008138E">
        <w:t>, report in [4]</w:t>
      </w:r>
      <w:r w:rsidR="002C1B7B">
        <w:t>:</w:t>
      </w:r>
    </w:p>
    <w:tbl>
      <w:tblPr>
        <w:tblStyle w:val="TableGrid"/>
        <w:tblW w:w="0" w:type="auto"/>
        <w:tblLook w:val="04A0" w:firstRow="1" w:lastRow="0" w:firstColumn="1" w:lastColumn="0" w:noHBand="0" w:noVBand="1"/>
      </w:tblPr>
      <w:tblGrid>
        <w:gridCol w:w="9631"/>
      </w:tblGrid>
      <w:tr w:rsidR="002C1B7B" w14:paraId="6FB84D84" w14:textId="77777777" w:rsidTr="002C1B7B">
        <w:tc>
          <w:tcPr>
            <w:tcW w:w="9631" w:type="dxa"/>
          </w:tcPr>
          <w:p w14:paraId="6F031FDC" w14:textId="77777777" w:rsidR="002C1B7B" w:rsidRDefault="002C1B7B" w:rsidP="002C1B7B">
            <w:pPr>
              <w:jc w:val="both"/>
            </w:pPr>
            <w:r>
              <w:t>1.</w:t>
            </w:r>
            <w:r>
              <w:tab/>
              <w:t>Support CHO location trigger as the distance between UE and a reference location which may be configured as the serving cell reference location or the candidate target cell reference location. FFS if combination can be allowed.</w:t>
            </w:r>
          </w:p>
          <w:p w14:paraId="72A52A22" w14:textId="77777777" w:rsidR="002C1B7B" w:rsidRDefault="002C1B7B" w:rsidP="002C1B7B">
            <w:pPr>
              <w:jc w:val="both"/>
            </w:pPr>
            <w:r>
              <w:t>2.</w:t>
            </w:r>
            <w:r>
              <w:tab/>
              <w:t xml:space="preserve">The reference location for the event description is defined as cell </w:t>
            </w:r>
            <w:proofErr w:type="spellStart"/>
            <w:r>
              <w:t>center</w:t>
            </w:r>
            <w:proofErr w:type="spellEnd"/>
            <w:r>
              <w:t>.</w:t>
            </w:r>
          </w:p>
          <w:p w14:paraId="360177E9" w14:textId="021CE195" w:rsidR="002C1B7B" w:rsidRDefault="002C1B7B" w:rsidP="002C1B7B">
            <w:pPr>
              <w:jc w:val="both"/>
            </w:pPr>
            <w:r>
              <w:t>3.</w:t>
            </w:r>
            <w:r>
              <w:tab/>
              <w:t>For CHO, joint configuration of location and RSRP as well as time and RSRP triggers are supported.</w:t>
            </w:r>
          </w:p>
          <w:p w14:paraId="5448FE40" w14:textId="017DD956" w:rsidR="002C1B7B" w:rsidRDefault="002C1B7B" w:rsidP="002C1B7B">
            <w:pPr>
              <w:jc w:val="both"/>
            </w:pPr>
            <w:r>
              <w:t>4.</w:t>
            </w:r>
            <w:r>
              <w:tab/>
              <w:t>For idle mode reselection, based on configuration NTN UE can prioritise TN over NTN. Configuration details FFS</w:t>
            </w:r>
          </w:p>
          <w:p w14:paraId="7D88AAD6" w14:textId="39AE3B2F" w:rsidR="002C1B7B" w:rsidRDefault="002C1B7B" w:rsidP="002C1B7B">
            <w:pPr>
              <w:jc w:val="both"/>
            </w:pPr>
            <w:r>
              <w:t>5.</w:t>
            </w:r>
            <w:r>
              <w:tab/>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0ECD295B" w14:textId="554C8D4D" w:rsidR="002C1B7B" w:rsidRDefault="002C1B7B" w:rsidP="002C1B7B">
            <w:pPr>
              <w:jc w:val="both"/>
            </w:pPr>
            <w:r>
              <w:t>6.</w:t>
            </w:r>
            <w:r>
              <w:tab/>
              <w:t>Same CHO trigger conditions and RRM events can be used within NTN and NTN-TN mobility provided these are supported by the UE. NTN-TN means both “from NTN to TN (hand-in)” and “from NTN to TN (hand-in) and from TN to NTN (hand-out)". FFS for enhancements.</w:t>
            </w:r>
          </w:p>
        </w:tc>
      </w:tr>
    </w:tbl>
    <w:p w14:paraId="31DF5C64" w14:textId="77777777" w:rsidR="002C1B7B" w:rsidRDefault="002C1B7B" w:rsidP="00F263B8">
      <w:pPr>
        <w:jc w:val="both"/>
      </w:pPr>
    </w:p>
    <w:p w14:paraId="31EC6E66" w14:textId="561746B9" w:rsidR="007F2E08" w:rsidRDefault="00C219A0" w:rsidP="00F263B8">
      <w:pPr>
        <w:jc w:val="both"/>
      </w:pPr>
      <w:r>
        <w:t xml:space="preserve">This paper provides Nokia’s </w:t>
      </w:r>
      <w:r w:rsidR="005048A2">
        <w:t xml:space="preserve">further </w:t>
      </w:r>
      <w:r>
        <w:t xml:space="preserve">view regarding the </w:t>
      </w:r>
      <w:r w:rsidR="005438A1">
        <w:t>mobility</w:t>
      </w:r>
      <w:r>
        <w:t xml:space="preserve"> for Rel-17 NTN.</w:t>
      </w:r>
    </w:p>
    <w:p w14:paraId="4F547731" w14:textId="791FEED7" w:rsidR="00A209D6" w:rsidRPr="006E13D1" w:rsidRDefault="00A209D6" w:rsidP="00F263B8">
      <w:pPr>
        <w:pStyle w:val="Heading1"/>
        <w:jc w:val="both"/>
      </w:pPr>
      <w:r w:rsidRPr="006E13D1">
        <w:t>2</w:t>
      </w:r>
      <w:r w:rsidRPr="006E13D1">
        <w:tab/>
      </w:r>
      <w:r w:rsidR="00C219A0">
        <w:t>Discussion</w:t>
      </w:r>
    </w:p>
    <w:p w14:paraId="5F01C058" w14:textId="3138DCDC" w:rsidR="00A209D6" w:rsidRPr="006E13D1" w:rsidRDefault="00B7538C" w:rsidP="00F263B8">
      <w:pPr>
        <w:pStyle w:val="Heading2"/>
        <w:jc w:val="both"/>
      </w:pPr>
      <w:r>
        <w:t>2</w:t>
      </w:r>
      <w:r w:rsidR="00A209D6" w:rsidRPr="006E13D1">
        <w:t>.1</w:t>
      </w:r>
      <w:r w:rsidR="00A209D6" w:rsidRPr="006E13D1">
        <w:tab/>
      </w:r>
      <w:r w:rsidR="006B6DAA">
        <w:t>Timing-related</w:t>
      </w:r>
      <w:r w:rsidR="00395D6A">
        <w:t xml:space="preserve"> events for measurement report or CHO triggering</w:t>
      </w:r>
    </w:p>
    <w:p w14:paraId="71A75704" w14:textId="51E96AF7" w:rsidR="0012443C" w:rsidRDefault="00544092" w:rsidP="008F64F2">
      <w:pPr>
        <w:spacing w:before="240"/>
        <w:jc w:val="both"/>
      </w:pPr>
      <w:r>
        <w:t>RAN2 eventually made a decision to use a time window, defined by [t1, t2] for triggering the CHO in NTN systems. The execution of CHO occurs</w:t>
      </w:r>
      <w:r w:rsidR="008F64F2">
        <w:t xml:space="preserve"> within that time period</w:t>
      </w:r>
      <w:r>
        <w:t xml:space="preserve"> only if all other associated conditions are also met (e.g. RSRP/RSRQ based). </w:t>
      </w:r>
      <w:r w:rsidR="008F64F2">
        <w:t xml:space="preserve">It has been agreed, even multiple times, that time-based event can be combined with radio signal level/quality based event (e.g. </w:t>
      </w:r>
      <w:proofErr w:type="spellStart"/>
      <w:r w:rsidR="008F64F2">
        <w:t>Ax</w:t>
      </w:r>
      <w:proofErr w:type="spellEnd"/>
      <w:r w:rsidR="008F64F2">
        <w:t xml:space="preserve">, as defined in TS 38.331). </w:t>
      </w:r>
      <w:r w:rsidR="0017741A">
        <w:t xml:space="preserve">However, that seems to be still left up to each individual implementation whether such events are configured jointly or time-based event is used solely. </w:t>
      </w:r>
      <w:r w:rsidR="00355781">
        <w:t>While we value the flexibility to use the components of configuration as per individual needs, we feel triggering CHO based on the time-related even</w:t>
      </w:r>
      <w:r w:rsidR="007C7A81">
        <w:t>t</w:t>
      </w:r>
      <w:r w:rsidR="00355781">
        <w:t>, without checking radio conditions</w:t>
      </w:r>
      <w:r w:rsidR="007C7A81">
        <w:t>,</w:t>
      </w:r>
      <w:r w:rsidR="00355781">
        <w:t xml:space="preserve"> seems to be too risky to be allowed</w:t>
      </w:r>
      <w:r w:rsidR="00F86B2A">
        <w:t xml:space="preserve"> (e.g. one can imagine the case target cell is temporarily in NLOS conditions while the time-based event triggers)</w:t>
      </w:r>
      <w:r w:rsidR="00355781">
        <w:t xml:space="preserve">. </w:t>
      </w:r>
      <w:r w:rsidR="007C7A81">
        <w:t xml:space="preserve">It has been asked multiple times what is the specific use-case that would justify such setting, but the advocates of such flexibility were unable or unwilling to disclose the details. </w:t>
      </w:r>
    </w:p>
    <w:p w14:paraId="19D31765" w14:textId="227B1645" w:rsidR="00355781" w:rsidRPr="001F7CDE" w:rsidRDefault="00355781" w:rsidP="008F64F2">
      <w:pPr>
        <w:spacing w:before="240"/>
        <w:jc w:val="both"/>
        <w:rPr>
          <w:b/>
          <w:bCs/>
          <w:lang w:val="pl-PL"/>
        </w:rPr>
      </w:pPr>
      <w:r w:rsidRPr="007A4C9A">
        <w:rPr>
          <w:b/>
          <w:bCs/>
        </w:rPr>
        <w:t>Obser</w:t>
      </w:r>
      <w:r w:rsidR="007C7A81" w:rsidRPr="007A4C9A">
        <w:rPr>
          <w:b/>
          <w:bCs/>
        </w:rPr>
        <w:t xml:space="preserve">vation 1: </w:t>
      </w:r>
      <w:r w:rsidR="009B26F3" w:rsidRPr="007A4C9A">
        <w:rPr>
          <w:b/>
          <w:bCs/>
        </w:rPr>
        <w:t xml:space="preserve">The use-case for configuring time-based event without radio-based event for CHO execution triggering remains unknown. </w:t>
      </w:r>
    </w:p>
    <w:p w14:paraId="67122144" w14:textId="67E13AF3" w:rsidR="009B26F3" w:rsidRDefault="009B26F3" w:rsidP="008F64F2">
      <w:pPr>
        <w:spacing w:before="240"/>
        <w:jc w:val="both"/>
      </w:pPr>
      <w:r>
        <w:t xml:space="preserve">As in our understanding the connected mode UE in NTN system will anyway be configured to measure, we see no </w:t>
      </w:r>
      <w:r w:rsidR="007A4C9A">
        <w:t xml:space="preserve">massive gain in skipping the </w:t>
      </w:r>
      <w:proofErr w:type="spellStart"/>
      <w:r w:rsidR="007A4C9A">
        <w:t>Ax</w:t>
      </w:r>
      <w:proofErr w:type="spellEnd"/>
      <w:r w:rsidR="007A4C9A">
        <w:t xml:space="preserve"> event in setting the CHO execution criteria. </w:t>
      </w:r>
    </w:p>
    <w:p w14:paraId="469F768F" w14:textId="15F725EF" w:rsidR="007A4C9A" w:rsidRPr="007A4C9A" w:rsidRDefault="007A4C9A" w:rsidP="008F64F2">
      <w:pPr>
        <w:spacing w:before="240"/>
        <w:jc w:val="both"/>
        <w:rPr>
          <w:b/>
          <w:bCs/>
        </w:rPr>
      </w:pPr>
      <w:r w:rsidRPr="007A4C9A">
        <w:rPr>
          <w:b/>
          <w:bCs/>
        </w:rPr>
        <w:t>Observation 2: The UE in RRC_CONNECTED will be anyway configured to measure the neigh</w:t>
      </w:r>
      <w:r w:rsidR="00B32470">
        <w:rPr>
          <w:b/>
          <w:bCs/>
        </w:rPr>
        <w:t>b</w:t>
      </w:r>
      <w:r w:rsidRPr="007A4C9A">
        <w:rPr>
          <w:b/>
          <w:bCs/>
        </w:rPr>
        <w:t xml:space="preserve">ouring cells, so there is no considerable gain when the UE does not evaluate the </w:t>
      </w:r>
      <w:proofErr w:type="spellStart"/>
      <w:r w:rsidRPr="007A4C9A">
        <w:rPr>
          <w:b/>
          <w:bCs/>
        </w:rPr>
        <w:t>Ax</w:t>
      </w:r>
      <w:proofErr w:type="spellEnd"/>
      <w:r w:rsidRPr="007A4C9A">
        <w:rPr>
          <w:b/>
          <w:bCs/>
        </w:rPr>
        <w:t xml:space="preserve"> event for CHO execution triggering in NTN.</w:t>
      </w:r>
    </w:p>
    <w:p w14:paraId="1D8EC25B" w14:textId="09AA6765" w:rsidR="00355781" w:rsidRDefault="006E4D0C" w:rsidP="008F64F2">
      <w:pPr>
        <w:spacing w:before="240"/>
        <w:jc w:val="both"/>
      </w:pPr>
      <w:r>
        <w:t xml:space="preserve">There is no gain, but there may be a significant loss, if we allow the UE to just use the timing for CHO execution triggering. We see a large difference between measurement report triggering and CHO execution triggering. The </w:t>
      </w:r>
      <w:r w:rsidR="00DE1B7E">
        <w:t>former</w:t>
      </w:r>
      <w:r>
        <w:t xml:space="preserve"> will just result in</w:t>
      </w:r>
      <w:r w:rsidR="00DE1B7E">
        <w:t xml:space="preserve"> the measurement report sent to the network, based on which the network can take subsequent actions. The latter will lead to change of the cell. </w:t>
      </w:r>
      <w:r w:rsidR="00CA7CF9">
        <w:t xml:space="preserve">Associating such decision just with whether the time-based event has been fulfilled or not, is clearly a suboptimal behaviour. </w:t>
      </w:r>
      <w:r w:rsidR="00355781">
        <w:t>Thus, we propose the following:</w:t>
      </w:r>
    </w:p>
    <w:p w14:paraId="52AE30FC" w14:textId="48E7652B" w:rsidR="00AB1C1D" w:rsidRPr="00CA406C" w:rsidRDefault="00CA7CF9" w:rsidP="00CA7CF9">
      <w:pPr>
        <w:spacing w:before="240"/>
        <w:jc w:val="both"/>
        <w:rPr>
          <w:b/>
          <w:bCs/>
        </w:rPr>
      </w:pPr>
      <w:r w:rsidRPr="00CA7CF9">
        <w:rPr>
          <w:b/>
          <w:bCs/>
        </w:rPr>
        <w:t xml:space="preserve">Proposal 1: Time-based event for CHO execution triggering in NTN is always configured with radio-based event (e.g. </w:t>
      </w:r>
      <w:proofErr w:type="spellStart"/>
      <w:r w:rsidRPr="00CA7CF9">
        <w:rPr>
          <w:b/>
          <w:bCs/>
        </w:rPr>
        <w:t>Ax</w:t>
      </w:r>
      <w:proofErr w:type="spellEnd"/>
      <w:r w:rsidRPr="00CA7CF9">
        <w:rPr>
          <w:b/>
          <w:bCs/>
        </w:rPr>
        <w:t>, as defined in NR RRC).</w:t>
      </w:r>
    </w:p>
    <w:p w14:paraId="7098F90D" w14:textId="66865B47" w:rsidR="00A209D6" w:rsidRPr="006E13D1" w:rsidRDefault="00B7538C" w:rsidP="00F263B8">
      <w:pPr>
        <w:pStyle w:val="Heading2"/>
        <w:jc w:val="both"/>
      </w:pPr>
      <w:r>
        <w:t>2</w:t>
      </w:r>
      <w:r w:rsidR="00A209D6" w:rsidRPr="006E13D1">
        <w:t>.2</w:t>
      </w:r>
      <w:r w:rsidR="00A209D6" w:rsidRPr="006E13D1">
        <w:tab/>
      </w:r>
      <w:r w:rsidR="00312F19">
        <w:t>Location</w:t>
      </w:r>
      <w:r w:rsidR="00312F19" w:rsidRPr="00312F19">
        <w:t>-related events for measurement report or CHO triggering</w:t>
      </w:r>
    </w:p>
    <w:p w14:paraId="156063A1" w14:textId="39956840" w:rsidR="0040242C" w:rsidRPr="00796DCD" w:rsidRDefault="0040242C" w:rsidP="00F263B8">
      <w:pPr>
        <w:jc w:val="both"/>
      </w:pPr>
      <w:r>
        <w:t xml:space="preserve">Recent RAN2 agreement states that the reference location in event description for CHO triggering in NTN is defined as cell </w:t>
      </w:r>
      <w:proofErr w:type="spellStart"/>
      <w:r>
        <w:t>center</w:t>
      </w:r>
      <w:proofErr w:type="spellEnd"/>
      <w:r>
        <w:t xml:space="preserve">. In our understanding in LEO/MEO systems, the cell </w:t>
      </w:r>
      <w:proofErr w:type="spellStart"/>
      <w:r>
        <w:t>center</w:t>
      </w:r>
      <w:proofErr w:type="spellEnd"/>
      <w:r>
        <w:t xml:space="preserve"> would probably be equivalent to beam </w:t>
      </w:r>
      <w:proofErr w:type="spellStart"/>
      <w:r>
        <w:t>center</w:t>
      </w:r>
      <w:proofErr w:type="spellEnd"/>
      <w:r w:rsidR="00F267E0">
        <w:t xml:space="preserve"> (considering beam pointing direction, acceptable error margin, etc.).</w:t>
      </w:r>
    </w:p>
    <w:p w14:paraId="405B185D" w14:textId="507E7366" w:rsidR="0040242C" w:rsidRPr="00F267E0" w:rsidRDefault="00F267E0" w:rsidP="00F263B8">
      <w:pPr>
        <w:jc w:val="both"/>
        <w:rPr>
          <w:b/>
          <w:bCs/>
        </w:rPr>
      </w:pPr>
      <w:r w:rsidRPr="00F267E0">
        <w:rPr>
          <w:b/>
          <w:bCs/>
        </w:rPr>
        <w:t>Observation 3: In LEO/MEO</w:t>
      </w:r>
      <w:r w:rsidR="00BE325F">
        <w:rPr>
          <w:b/>
          <w:bCs/>
        </w:rPr>
        <w:t>,</w:t>
      </w:r>
      <w:r w:rsidR="003C31BE">
        <w:rPr>
          <w:b/>
          <w:bCs/>
        </w:rPr>
        <w:t xml:space="preserve"> </w:t>
      </w:r>
      <w:r w:rsidRPr="00F267E0">
        <w:rPr>
          <w:b/>
          <w:bCs/>
        </w:rPr>
        <w:t xml:space="preserve">the cell </w:t>
      </w:r>
      <w:proofErr w:type="spellStart"/>
      <w:r w:rsidRPr="00F267E0">
        <w:rPr>
          <w:b/>
          <w:bCs/>
        </w:rPr>
        <w:t>center</w:t>
      </w:r>
      <w:proofErr w:type="spellEnd"/>
      <w:r w:rsidRPr="00F267E0">
        <w:rPr>
          <w:b/>
          <w:bCs/>
        </w:rPr>
        <w:t xml:space="preserve"> </w:t>
      </w:r>
      <w:r w:rsidR="003C31BE">
        <w:rPr>
          <w:b/>
          <w:bCs/>
        </w:rPr>
        <w:t>from RSRP/RSRQ point of view</w:t>
      </w:r>
      <w:r w:rsidR="003C31BE" w:rsidRPr="00F267E0">
        <w:rPr>
          <w:b/>
          <w:bCs/>
        </w:rPr>
        <w:t xml:space="preserve"> </w:t>
      </w:r>
      <w:r w:rsidRPr="00F267E0">
        <w:rPr>
          <w:b/>
          <w:bCs/>
        </w:rPr>
        <w:t xml:space="preserve">is likely to be </w:t>
      </w:r>
      <w:r w:rsidR="00D02BA8">
        <w:rPr>
          <w:b/>
          <w:bCs/>
        </w:rPr>
        <w:t>determined by the</w:t>
      </w:r>
      <w:r w:rsidRPr="00F267E0">
        <w:rPr>
          <w:b/>
          <w:bCs/>
        </w:rPr>
        <w:t xml:space="preserve"> </w:t>
      </w:r>
      <w:r w:rsidR="00F31C7B">
        <w:rPr>
          <w:b/>
          <w:bCs/>
        </w:rPr>
        <w:t xml:space="preserve">corresponding </w:t>
      </w:r>
      <w:r w:rsidR="00D6175A">
        <w:rPr>
          <w:b/>
          <w:bCs/>
        </w:rPr>
        <w:t xml:space="preserve">satellite </w:t>
      </w:r>
      <w:r w:rsidRPr="00F267E0">
        <w:rPr>
          <w:b/>
          <w:bCs/>
        </w:rPr>
        <w:t xml:space="preserve">beam </w:t>
      </w:r>
      <w:proofErr w:type="spellStart"/>
      <w:r w:rsidRPr="00F267E0">
        <w:rPr>
          <w:b/>
          <w:bCs/>
        </w:rPr>
        <w:t>center</w:t>
      </w:r>
      <w:proofErr w:type="spellEnd"/>
      <w:r w:rsidR="00EC4058">
        <w:rPr>
          <w:b/>
          <w:bCs/>
        </w:rPr>
        <w:t xml:space="preserve"> location on Earth</w:t>
      </w:r>
      <w:r w:rsidRPr="00F267E0">
        <w:rPr>
          <w:b/>
          <w:bCs/>
        </w:rPr>
        <w:t>.</w:t>
      </w:r>
    </w:p>
    <w:p w14:paraId="31C88209" w14:textId="62A5396F" w:rsidR="0040242C" w:rsidRDefault="00B4635B" w:rsidP="00F263B8">
      <w:pPr>
        <w:jc w:val="both"/>
      </w:pPr>
      <w:r>
        <w:t xml:space="preserve">If the aim is to define a solution which would be applicable to all </w:t>
      </w:r>
      <w:r w:rsidR="005D1D30">
        <w:t xml:space="preserve">practical </w:t>
      </w:r>
      <w:r>
        <w:t xml:space="preserve">deployment scenarios, considering the highly-elliptical beam shapes and the difficulty to unambiguously define a beam/cell </w:t>
      </w:r>
      <w:proofErr w:type="spellStart"/>
      <w:r>
        <w:t>center</w:t>
      </w:r>
      <w:proofErr w:type="spellEnd"/>
      <w:r>
        <w:t xml:space="preserve">, it may be justified to specify one or more reference points per cell, including the matching interpretation for each of the points. Otherwise, cell </w:t>
      </w:r>
      <w:proofErr w:type="spellStart"/>
      <w:r>
        <w:t>center</w:t>
      </w:r>
      <w:proofErr w:type="spellEnd"/>
      <w:r>
        <w:t xml:space="preserve"> would be given with large inaccuracy</w:t>
      </w:r>
      <w:r w:rsidR="00217564">
        <w:t xml:space="preserve"> in some deployments which would be prone to </w:t>
      </w:r>
      <w:r w:rsidR="0016581E">
        <w:t xml:space="preserve">beam </w:t>
      </w:r>
      <w:r w:rsidR="00217564">
        <w:t>footprint shape distortion.</w:t>
      </w:r>
      <w:r>
        <w:t xml:space="preserve"> </w:t>
      </w:r>
      <w:r w:rsidR="00402B0D">
        <w:t xml:space="preserve">For example, the reference </w:t>
      </w:r>
      <w:r w:rsidR="00C96DAB">
        <w:t xml:space="preserve">points can be placed </w:t>
      </w:r>
      <w:r w:rsidR="00DC6EC0">
        <w:t>along the major axis</w:t>
      </w:r>
      <w:r w:rsidR="00267991">
        <w:t xml:space="preserve"> of the ellipse. </w:t>
      </w:r>
      <w:r w:rsidR="002F0B65">
        <w:t xml:space="preserve">If the ellipse </w:t>
      </w:r>
      <w:r w:rsidR="00005FBE">
        <w:t xml:space="preserve">turns out to be a circle, then all points collapse to a single point – the centre of the circle. </w:t>
      </w:r>
    </w:p>
    <w:p w14:paraId="17DDA503" w14:textId="2D63D0A1" w:rsidR="00B4635B" w:rsidRPr="00E42B60" w:rsidRDefault="00B4635B" w:rsidP="00F263B8">
      <w:pPr>
        <w:jc w:val="both"/>
        <w:rPr>
          <w:b/>
          <w:bCs/>
        </w:rPr>
      </w:pPr>
      <w:r w:rsidRPr="00E42B60">
        <w:rPr>
          <w:b/>
          <w:bCs/>
        </w:rPr>
        <w:t xml:space="preserve">Observation 4: </w:t>
      </w:r>
      <w:r w:rsidR="00217564">
        <w:rPr>
          <w:b/>
          <w:bCs/>
        </w:rPr>
        <w:t xml:space="preserve">A single reference point </w:t>
      </w:r>
      <w:r w:rsidR="00292A55">
        <w:rPr>
          <w:b/>
          <w:bCs/>
        </w:rPr>
        <w:t xml:space="preserve">may be insufficient to reflect the cell </w:t>
      </w:r>
      <w:proofErr w:type="spellStart"/>
      <w:r w:rsidR="00292A55">
        <w:rPr>
          <w:b/>
          <w:bCs/>
        </w:rPr>
        <w:t>center</w:t>
      </w:r>
      <w:proofErr w:type="spellEnd"/>
      <w:r w:rsidR="00292A55">
        <w:rPr>
          <w:b/>
          <w:bCs/>
        </w:rPr>
        <w:t>, especially when satellite beams are more elliptical than circular.</w:t>
      </w:r>
    </w:p>
    <w:p w14:paraId="61C5F4E9" w14:textId="7C28A82B" w:rsidR="00B4635B" w:rsidRDefault="00900F58" w:rsidP="00F263B8">
      <w:pPr>
        <w:jc w:val="both"/>
      </w:pPr>
      <w:r>
        <w:t xml:space="preserve">If it is </w:t>
      </w:r>
      <w:r w:rsidR="00E52C21">
        <w:t>widely acknowledged</w:t>
      </w:r>
      <w:r>
        <w:t xml:space="preserve"> Rel-17</w:t>
      </w:r>
      <w:r w:rsidR="00E52C21">
        <w:t xml:space="preserve"> </w:t>
      </w:r>
      <w:r w:rsidR="009D02DC">
        <w:t xml:space="preserve">specification for </w:t>
      </w:r>
      <w:r w:rsidR="00E52C21">
        <w:t>NTN</w:t>
      </w:r>
      <w:r>
        <w:t xml:space="preserve"> supports just</w:t>
      </w:r>
      <w:r w:rsidR="00E52C21">
        <w:t xml:space="preserve"> a</w:t>
      </w:r>
      <w:r w:rsidR="009D02DC">
        <w:t>n ideal</w:t>
      </w:r>
      <w:r w:rsidR="00E52C21">
        <w:t xml:space="preserve"> </w:t>
      </w:r>
      <w:r w:rsidR="008F2ECB">
        <w:t xml:space="preserve">scenario </w:t>
      </w:r>
      <w:r>
        <w:t xml:space="preserve">then relying on </w:t>
      </w:r>
      <w:r w:rsidR="00AB024B">
        <w:t xml:space="preserve">cell </w:t>
      </w:r>
      <w:proofErr w:type="spellStart"/>
      <w:r w:rsidR="00AB024B">
        <w:t>center</w:t>
      </w:r>
      <w:proofErr w:type="spellEnd"/>
      <w:r>
        <w:t xml:space="preserve"> reference point is fine. However, to make the system more versatile, we have the following suggestion:</w:t>
      </w:r>
    </w:p>
    <w:p w14:paraId="74077EAD" w14:textId="463F2341" w:rsidR="00900F58" w:rsidRPr="00FD6C73" w:rsidRDefault="00900F58" w:rsidP="00F263B8">
      <w:pPr>
        <w:jc w:val="both"/>
        <w:rPr>
          <w:b/>
          <w:bCs/>
        </w:rPr>
      </w:pPr>
      <w:r w:rsidRPr="00FD6C73">
        <w:rPr>
          <w:b/>
          <w:bCs/>
        </w:rPr>
        <w:t xml:space="preserve">Proposal 2: </w:t>
      </w:r>
      <w:r w:rsidR="00FD6C73" w:rsidRPr="00FD6C73">
        <w:rPr>
          <w:b/>
          <w:bCs/>
        </w:rPr>
        <w:t xml:space="preserve">There are multiple reference points defined per cell to be jointly used for determining the cell </w:t>
      </w:r>
      <w:proofErr w:type="spellStart"/>
      <w:r w:rsidR="00FD6C73" w:rsidRPr="00FD6C73">
        <w:rPr>
          <w:b/>
          <w:bCs/>
        </w:rPr>
        <w:t>center</w:t>
      </w:r>
      <w:proofErr w:type="spellEnd"/>
      <w:r w:rsidR="00FD6C73" w:rsidRPr="00FD6C73">
        <w:rPr>
          <w:b/>
          <w:bCs/>
        </w:rPr>
        <w:t xml:space="preserve"> in NTN </w:t>
      </w:r>
    </w:p>
    <w:p w14:paraId="3F1E2205" w14:textId="2A3039D6" w:rsidR="00447F8B" w:rsidRDefault="00BE22F4" w:rsidP="00F263B8">
      <w:pPr>
        <w:jc w:val="both"/>
      </w:pPr>
      <w:r>
        <w:t>One of the FFSs from RAN2#114 was on the combination/joint configuration of reference point related to the source cell and target cell</w:t>
      </w:r>
      <w:r w:rsidR="007455B4">
        <w:t xml:space="preserve">. That would allow the UE to compare the distance to reference point associated with the source cell with the distance to the reference point corresponding to each target cell. When the latter will become by offset shorter than the former, UE may trigger CHO execution (provided </w:t>
      </w:r>
      <w:r w:rsidR="00AA2672">
        <w:t>other associated conditions are also fulfilled).</w:t>
      </w:r>
      <w:r w:rsidR="006C64E9">
        <w:t xml:space="preserve"> While this sounds a bit complex and we value simplicity wherever possible, we understand this may be actually helpful to resolve the problems discussed above (non-ideal beam footprint, inaccuracies in defining the beam/cell </w:t>
      </w:r>
      <w:proofErr w:type="spellStart"/>
      <w:r w:rsidR="006C64E9">
        <w:t>center</w:t>
      </w:r>
      <w:proofErr w:type="spellEnd"/>
      <w:r w:rsidR="006C64E9">
        <w:t xml:space="preserve">, etc.). </w:t>
      </w:r>
      <w:r w:rsidR="00447F8B">
        <w:t xml:space="preserve">Thanks to </w:t>
      </w:r>
      <w:r w:rsidR="00417CEB">
        <w:t xml:space="preserve">computing </w:t>
      </w:r>
      <w:r w:rsidR="00447F8B">
        <w:t>the distance to two independent reference points (for source and target cell), the accuracy of</w:t>
      </w:r>
      <w:r w:rsidR="00417CEB">
        <w:t xml:space="preserve"> assessing the</w:t>
      </w:r>
      <w:r w:rsidR="00447F8B">
        <w:t xml:space="preserve"> UE location</w:t>
      </w:r>
      <w:r w:rsidR="00417CEB">
        <w:t xml:space="preserve"> relative to source and target</w:t>
      </w:r>
      <w:r w:rsidR="00447F8B">
        <w:t xml:space="preserve"> may be improved. Thus, we are positive towards allowing the combination of reference location for source and target in CHO execution triggering. </w:t>
      </w:r>
    </w:p>
    <w:p w14:paraId="7DD271F2" w14:textId="67EFE897" w:rsidR="00686762" w:rsidRPr="002B7C6E" w:rsidRDefault="00447F8B" w:rsidP="00F263B8">
      <w:pPr>
        <w:jc w:val="both"/>
        <w:rPr>
          <w:b/>
          <w:bCs/>
        </w:rPr>
      </w:pPr>
      <w:r w:rsidRPr="000943B5">
        <w:rPr>
          <w:b/>
          <w:bCs/>
        </w:rPr>
        <w:t xml:space="preserve">Proposal 3: </w:t>
      </w:r>
      <w:r w:rsidR="00AA2672" w:rsidRPr="000943B5">
        <w:rPr>
          <w:b/>
          <w:bCs/>
        </w:rPr>
        <w:t xml:space="preserve"> </w:t>
      </w:r>
      <w:r w:rsidR="007F76B2" w:rsidRPr="000943B5">
        <w:rPr>
          <w:b/>
          <w:bCs/>
        </w:rPr>
        <w:t>The joint configuration of reference locations for source and target cell for CHO execution triggering in NTN is supported in Rel-17.</w:t>
      </w:r>
    </w:p>
    <w:p w14:paraId="344674BC" w14:textId="6FFD8C50" w:rsidR="00FC0D7D" w:rsidRDefault="002B7C6E" w:rsidP="00F263B8">
      <w:pPr>
        <w:jc w:val="both"/>
      </w:pPr>
      <w:r>
        <w:t>Similarly to what we have said in section 2.1, we propose to always combine the location-based event with radio based event.</w:t>
      </w:r>
    </w:p>
    <w:p w14:paraId="2B08EFEE" w14:textId="5C6FBE6B" w:rsidR="00FC0D7D" w:rsidRDefault="00FC0D7D" w:rsidP="00F263B8">
      <w:pPr>
        <w:jc w:val="both"/>
        <w:rPr>
          <w:b/>
          <w:bCs/>
        </w:rPr>
      </w:pPr>
      <w:r w:rsidRPr="007806CA">
        <w:rPr>
          <w:b/>
          <w:bCs/>
        </w:rPr>
        <w:t>Proposal</w:t>
      </w:r>
      <w:r w:rsidR="002B7C6E">
        <w:rPr>
          <w:b/>
          <w:bCs/>
        </w:rPr>
        <w:t xml:space="preserve"> 4</w:t>
      </w:r>
      <w:r w:rsidRPr="007806CA">
        <w:rPr>
          <w:b/>
          <w:bCs/>
        </w:rPr>
        <w:t xml:space="preserve">: </w:t>
      </w:r>
      <w:r>
        <w:rPr>
          <w:b/>
          <w:bCs/>
        </w:rPr>
        <w:t xml:space="preserve">Location-based event for CHO execution triggering is always configured with </w:t>
      </w:r>
      <w:r w:rsidRPr="00AB1C1D">
        <w:rPr>
          <w:b/>
          <w:bCs/>
        </w:rPr>
        <w:t xml:space="preserve">radio-based measurement </w:t>
      </w:r>
      <w:r>
        <w:rPr>
          <w:b/>
          <w:bCs/>
        </w:rPr>
        <w:t xml:space="preserve">event </w:t>
      </w:r>
      <w:r w:rsidRPr="00AB1C1D">
        <w:rPr>
          <w:b/>
          <w:bCs/>
        </w:rPr>
        <w:t>(</w:t>
      </w:r>
      <w:r>
        <w:rPr>
          <w:b/>
          <w:bCs/>
        </w:rPr>
        <w:t>e.g.</w:t>
      </w:r>
      <w:r w:rsidRPr="00AB1C1D">
        <w:rPr>
          <w:b/>
          <w:bCs/>
        </w:rPr>
        <w:t xml:space="preserve"> </w:t>
      </w:r>
      <w:proofErr w:type="spellStart"/>
      <w:r w:rsidRPr="00AB1C1D">
        <w:rPr>
          <w:b/>
          <w:bCs/>
        </w:rPr>
        <w:t>Ax</w:t>
      </w:r>
      <w:proofErr w:type="spellEnd"/>
      <w:r w:rsidRPr="00AB1C1D">
        <w:rPr>
          <w:b/>
          <w:bCs/>
        </w:rPr>
        <w:t>)</w:t>
      </w:r>
      <w:r>
        <w:rPr>
          <w:b/>
          <w:bCs/>
        </w:rPr>
        <w:t>.</w:t>
      </w:r>
    </w:p>
    <w:p w14:paraId="0AD53FF7" w14:textId="0C2F50ED" w:rsidR="00595016" w:rsidRDefault="002B7C6E" w:rsidP="00F263B8">
      <w:pPr>
        <w:jc w:val="both"/>
      </w:pPr>
      <w:r>
        <w:t>Th</w:t>
      </w:r>
      <w:r w:rsidR="00595016">
        <w:t>e exact details how to link these events can be postponed until Stage-3</w:t>
      </w:r>
      <w:r w:rsidR="00615523">
        <w:t xml:space="preserve"> discussion</w:t>
      </w:r>
      <w:r w:rsidR="001E1AA2">
        <w:t xml:space="preserve"> (which to some extent is happening already now, as NR RRC running CR has been initiated). However, </w:t>
      </w:r>
      <w:r w:rsidR="00595016">
        <w:t xml:space="preserve">at least two options </w:t>
      </w:r>
      <w:r w:rsidR="001E1AA2">
        <w:t>shall be</w:t>
      </w:r>
      <w:r w:rsidR="00595016">
        <w:t xml:space="preserve"> considered</w:t>
      </w:r>
      <w:r w:rsidR="001E1AA2">
        <w:t xml:space="preserve"> (no such discussion occurred so far)</w:t>
      </w:r>
      <w:r w:rsidR="00595016">
        <w:t>:</w:t>
      </w:r>
    </w:p>
    <w:p w14:paraId="32039CD4" w14:textId="66861236" w:rsidR="00595016" w:rsidRDefault="00595016" w:rsidP="00F263B8">
      <w:pPr>
        <w:pStyle w:val="ListParagraph"/>
        <w:numPr>
          <w:ilvl w:val="0"/>
          <w:numId w:val="14"/>
        </w:numPr>
        <w:jc w:val="both"/>
      </w:pPr>
      <w:r>
        <w:t xml:space="preserve">When </w:t>
      </w:r>
      <w:r w:rsidR="005F2FDD">
        <w:t>a</w:t>
      </w:r>
      <w:r w:rsidR="001A6D3E">
        <w:t xml:space="preserve"> distance threshold relative to the reference point</w:t>
      </w:r>
      <w:r w:rsidR="001E0744">
        <w:t xml:space="preserve"> is exceeded</w:t>
      </w:r>
      <w:r w:rsidR="00F06FB4">
        <w:t>,</w:t>
      </w:r>
      <w:r w:rsidR="001E0744">
        <w:t xml:space="preserve"> the </w:t>
      </w:r>
      <w:r>
        <w:t xml:space="preserve">UE starts evaluating the radio-based measurement event (e.g. </w:t>
      </w:r>
      <w:proofErr w:type="spellStart"/>
      <w:r>
        <w:t>Ax</w:t>
      </w:r>
      <w:proofErr w:type="spellEnd"/>
      <w:r>
        <w:t>). CHO is triggered when the radio-based measurement event is met.</w:t>
      </w:r>
    </w:p>
    <w:p w14:paraId="4FA45066" w14:textId="0E894851" w:rsidR="00595016" w:rsidRDefault="00595016" w:rsidP="00F263B8">
      <w:pPr>
        <w:pStyle w:val="ListParagraph"/>
        <w:numPr>
          <w:ilvl w:val="0"/>
          <w:numId w:val="14"/>
        </w:numPr>
        <w:jc w:val="both"/>
      </w:pPr>
      <w:r>
        <w:t xml:space="preserve">Radio-based and </w:t>
      </w:r>
      <w:r w:rsidR="001E0744">
        <w:t>location</w:t>
      </w:r>
      <w:r>
        <w:t>-based measurement events are evaluated in parallel. CHO is triggered when the second execution condition is met while the first execution condition does not meet the leaving condition (similar to what has been defined for CHO in Rel-16</w:t>
      </w:r>
      <w:r w:rsidR="00CB6F7F">
        <w:t xml:space="preserve"> when two execution conditions are configured</w:t>
      </w:r>
      <w:r>
        <w:t>)</w:t>
      </w:r>
      <w:r w:rsidR="00CB6F7F">
        <w:t>.</w:t>
      </w:r>
    </w:p>
    <w:p w14:paraId="6DAD3BA8" w14:textId="77777777" w:rsidR="00595016" w:rsidRDefault="00595016" w:rsidP="00F263B8">
      <w:pPr>
        <w:jc w:val="both"/>
      </w:pPr>
      <w:r>
        <w:t>RAN2 is asked to consider at least these two options.</w:t>
      </w:r>
    </w:p>
    <w:p w14:paraId="4C47BC7B" w14:textId="3AB7CE54" w:rsidR="007806CA" w:rsidRPr="002A4683" w:rsidRDefault="00595016" w:rsidP="00F263B8">
      <w:pPr>
        <w:jc w:val="both"/>
        <w:rPr>
          <w:b/>
          <w:bCs/>
        </w:rPr>
      </w:pPr>
      <w:r w:rsidRPr="00CA406C">
        <w:rPr>
          <w:b/>
          <w:bCs/>
        </w:rPr>
        <w:t xml:space="preserve">Proposal </w:t>
      </w:r>
      <w:r w:rsidR="002A4683">
        <w:rPr>
          <w:b/>
          <w:bCs/>
        </w:rPr>
        <w:t>5</w:t>
      </w:r>
      <w:r w:rsidRPr="00CA406C">
        <w:rPr>
          <w:b/>
          <w:bCs/>
        </w:rPr>
        <w:t xml:space="preserve">: </w:t>
      </w:r>
      <w:r>
        <w:rPr>
          <w:b/>
          <w:bCs/>
        </w:rPr>
        <w:t xml:space="preserve">RAN2 is asked to consider how to combine the </w:t>
      </w:r>
      <w:r w:rsidR="001E0744">
        <w:rPr>
          <w:b/>
          <w:bCs/>
        </w:rPr>
        <w:t>location</w:t>
      </w:r>
      <w:r w:rsidRPr="00CA406C">
        <w:rPr>
          <w:b/>
          <w:bCs/>
        </w:rPr>
        <w:t>- and radio-based execution conditions for NTN CHO</w:t>
      </w:r>
      <w:r>
        <w:rPr>
          <w:b/>
          <w:bCs/>
        </w:rPr>
        <w:t>.</w:t>
      </w:r>
      <w:r w:rsidR="00E6160F" w:rsidRPr="009B5E29">
        <w:rPr>
          <w:b/>
          <w:bCs/>
        </w:rPr>
        <w:t xml:space="preserve"> </w:t>
      </w:r>
    </w:p>
    <w:p w14:paraId="24C4984D" w14:textId="360C0903" w:rsidR="007806CA" w:rsidRDefault="007806CA" w:rsidP="00F263B8">
      <w:pPr>
        <w:pStyle w:val="Heading2"/>
        <w:jc w:val="both"/>
      </w:pPr>
      <w:r>
        <w:t>2.</w:t>
      </w:r>
      <w:r w:rsidR="002A4683">
        <w:t>3</w:t>
      </w:r>
      <w:r>
        <w:t xml:space="preserve"> </w:t>
      </w:r>
      <w:r w:rsidR="00A56E2A">
        <w:tab/>
      </w:r>
      <w:r>
        <w:t xml:space="preserve">Chain </w:t>
      </w:r>
      <w:r w:rsidR="00FA0EAE">
        <w:t>of Conditional Handovers</w:t>
      </w:r>
    </w:p>
    <w:p w14:paraId="4EA2B91D" w14:textId="423F4E33" w:rsidR="007806CA" w:rsidRDefault="00E16F8B" w:rsidP="00F263B8">
      <w:pPr>
        <w:jc w:val="both"/>
      </w:pPr>
      <w:r>
        <w:t>One of the issues also briefly considered in [1] was whether the CHO commands shall be discarded after HO execution. The question was not precisely asked</w:t>
      </w:r>
      <w:r w:rsidR="00AE544D">
        <w:t xml:space="preserve"> in [1]</w:t>
      </w:r>
      <w:r>
        <w:t xml:space="preserve">, as the </w:t>
      </w:r>
      <w:r w:rsidR="007F52AA">
        <w:t>authors of [</w:t>
      </w:r>
      <w:r w:rsidR="00F51581">
        <w:t>5</w:t>
      </w:r>
      <w:r w:rsidR="007F52AA">
        <w:t>], which was used as the main reference for that topic, clearly stated this is about the CHO commands for the future cells, not other candidates, to be considered in this CHO evaluation</w:t>
      </w:r>
      <w:r w:rsidR="00AE544D">
        <w:t xml:space="preserve"> step</w:t>
      </w:r>
      <w:r w:rsidR="007F52AA">
        <w:t xml:space="preserve">. As in NTN scenario the sequence of next serving cells can be predicted with high probability (assuming the UE does not move significantly, compared to the satellite coverage), </w:t>
      </w:r>
      <w:r w:rsidR="004959BA">
        <w:t xml:space="preserve">we see some value in preparing the UE for multiple </w:t>
      </w:r>
      <w:r w:rsidR="00E16429">
        <w:t xml:space="preserve">cell </w:t>
      </w:r>
      <w:r w:rsidR="004959BA">
        <w:t xml:space="preserve">hops in advance. </w:t>
      </w:r>
    </w:p>
    <w:p w14:paraId="3035349C" w14:textId="3B5C1FDF" w:rsidR="004959BA" w:rsidRDefault="00623740" w:rsidP="00F263B8">
      <w:pPr>
        <w:jc w:val="both"/>
        <w:rPr>
          <w:b/>
          <w:bCs/>
        </w:rPr>
      </w:pPr>
      <w:r w:rsidRPr="00264557">
        <w:rPr>
          <w:b/>
          <w:bCs/>
        </w:rPr>
        <w:t xml:space="preserve">Proposal </w:t>
      </w:r>
      <w:r>
        <w:rPr>
          <w:b/>
          <w:bCs/>
        </w:rPr>
        <w:t>6</w:t>
      </w:r>
      <w:r w:rsidR="004959BA" w:rsidRPr="00264557">
        <w:rPr>
          <w:b/>
          <w:bCs/>
        </w:rPr>
        <w:t xml:space="preserve">: </w:t>
      </w:r>
      <w:r w:rsidR="00264557">
        <w:rPr>
          <w:b/>
          <w:bCs/>
        </w:rPr>
        <w:t xml:space="preserve">RAN2 is asked to support the mechanism, where the UE can be provided with CHO configurations for cells beyond the next cell change (future candidate cells). </w:t>
      </w:r>
    </w:p>
    <w:p w14:paraId="5C5A62C5" w14:textId="579B748F" w:rsidR="00623740" w:rsidRPr="00623740" w:rsidRDefault="00623740" w:rsidP="00F263B8">
      <w:pPr>
        <w:jc w:val="both"/>
      </w:pPr>
      <w:r w:rsidRPr="00623740">
        <w:t xml:space="preserve">As shown in Fig. 1 </w:t>
      </w:r>
      <w:r w:rsidR="000D0687">
        <w:t xml:space="preserve">a single satellite may provide coverage of several cells. UE is relatively static, at least compared to the velocity of the satellite, so it is quite likely the UE will be served by cell B </w:t>
      </w:r>
      <w:r w:rsidR="000723C8">
        <w:t>directly after being served by cell A.</w:t>
      </w:r>
    </w:p>
    <w:p w14:paraId="1CAC94F1" w14:textId="3C3DE71F" w:rsidR="00623740" w:rsidRDefault="00623740" w:rsidP="00623740">
      <w:pPr>
        <w:keepNext/>
        <w:jc w:val="center"/>
      </w:pPr>
      <w:r>
        <w:rPr>
          <w:b/>
          <w:bCs/>
          <w:noProof/>
        </w:rPr>
        <w:drawing>
          <wp:inline distT="0" distB="0" distL="0" distR="0" wp14:anchorId="76BDDB7E" wp14:editId="04CBD21B">
            <wp:extent cx="3335020" cy="1889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5020" cy="1889760"/>
                    </a:xfrm>
                    <a:prstGeom prst="rect">
                      <a:avLst/>
                    </a:prstGeom>
                    <a:noFill/>
                  </pic:spPr>
                </pic:pic>
              </a:graphicData>
            </a:graphic>
          </wp:inline>
        </w:drawing>
      </w:r>
    </w:p>
    <w:p w14:paraId="0E33AFF5" w14:textId="12B8C3BF" w:rsidR="00623740" w:rsidRDefault="00623740" w:rsidP="00623740">
      <w:pPr>
        <w:pStyle w:val="Caption"/>
        <w:jc w:val="center"/>
        <w:rPr>
          <w:b/>
          <w:bCs/>
        </w:rPr>
      </w:pPr>
      <w:r>
        <w:t xml:space="preserve">Fig. </w:t>
      </w:r>
      <w:r>
        <w:fldChar w:fldCharType="begin"/>
      </w:r>
      <w:r>
        <w:instrText>SEQ Figure \* ARABIC</w:instrText>
      </w:r>
      <w:r>
        <w:fldChar w:fldCharType="separate"/>
      </w:r>
      <w:r>
        <w:rPr>
          <w:noProof/>
        </w:rPr>
        <w:t>1</w:t>
      </w:r>
      <w:r>
        <w:fldChar w:fldCharType="end"/>
      </w:r>
      <w:r>
        <w:t xml:space="preserve">. </w:t>
      </w:r>
      <w:r w:rsidR="000723C8">
        <w:t>Current serving and next prepared cells in the c</w:t>
      </w:r>
      <w:r>
        <w:t>hain of CHOs</w:t>
      </w:r>
    </w:p>
    <w:p w14:paraId="61E4F997" w14:textId="77777777" w:rsidR="00B87C1B" w:rsidRDefault="00603D49" w:rsidP="00F263B8">
      <w:pPr>
        <w:jc w:val="both"/>
      </w:pPr>
      <w:r>
        <w:t xml:space="preserve">In such case, it would make sense if the UE is provided in advance with the cell-specific resources/configurations for one or more next serving cells. Such set of configurations can be also equipped with time validity, in order not to </w:t>
      </w:r>
      <w:r w:rsidR="00B87C1B">
        <w:t>reserve too many resources on the network side much earlier than needed. The expected time of stay can be used for roughly assessing when each UE is expected to access subsequent CHO candidate cells.</w:t>
      </w:r>
    </w:p>
    <w:p w14:paraId="7A04FA84" w14:textId="77777777" w:rsidR="00A84AD3" w:rsidRPr="00A84AD3" w:rsidRDefault="00B87C1B" w:rsidP="00F263B8">
      <w:pPr>
        <w:jc w:val="both"/>
        <w:rPr>
          <w:b/>
          <w:bCs/>
        </w:rPr>
      </w:pPr>
      <w:r w:rsidRPr="00A84AD3">
        <w:rPr>
          <w:b/>
          <w:bCs/>
        </w:rPr>
        <w:t xml:space="preserve">Proposal 7: </w:t>
      </w:r>
      <w:r w:rsidR="00A84AD3" w:rsidRPr="00A84AD3">
        <w:rPr>
          <w:b/>
          <w:bCs/>
        </w:rPr>
        <w:t>UE’s expected time of stay in the cell can be used for avoiding too early resource reservations.</w:t>
      </w:r>
    </w:p>
    <w:p w14:paraId="6A69216A" w14:textId="333E605E" w:rsidR="00A84AD3" w:rsidRDefault="00A84AD3" w:rsidP="00F263B8">
      <w:pPr>
        <w:jc w:val="both"/>
      </w:pPr>
      <w:r>
        <w:t>When the UE accesses the next prepared cell (cell B in the example depicted in Fig. 1)</w:t>
      </w:r>
      <w:r w:rsidR="004D1CE4">
        <w:t xml:space="preserve"> it may inform the new serving cell of the presence of CHO chain configuration (</w:t>
      </w:r>
      <w:r w:rsidR="00AD3755">
        <w:t xml:space="preserve">e.g. </w:t>
      </w:r>
      <w:r w:rsidR="004D1CE4">
        <w:t>in case th</w:t>
      </w:r>
      <w:r w:rsidR="00BB020E">
        <w:t>e chain</w:t>
      </w:r>
      <w:r w:rsidR="004D1CE4">
        <w:t xml:space="preserve"> has not been properly propagated over the network nodes, including the UE’s unique identifier</w:t>
      </w:r>
      <w:r w:rsidR="0077682B">
        <w:t xml:space="preserve"> so that the </w:t>
      </w:r>
      <w:r w:rsidR="00C71CF6">
        <w:t xml:space="preserve">subsequent cells are able to determine </w:t>
      </w:r>
      <w:r w:rsidR="00236FD4">
        <w:t>for which users the resources were reserved</w:t>
      </w:r>
      <w:r w:rsidR="004D1CE4">
        <w:t xml:space="preserve">). </w:t>
      </w:r>
      <w:r w:rsidR="009177F4">
        <w:t>That would allow the new serving cell to determine if the chain of CHO configurations is valid</w:t>
      </w:r>
      <w:r w:rsidR="00BB020E">
        <w:t xml:space="preserve"> or the UE shall be perhaps reconfigured.</w:t>
      </w:r>
      <w:r w:rsidR="009177F4">
        <w:t xml:space="preserve"> </w:t>
      </w:r>
    </w:p>
    <w:p w14:paraId="62BBB75F" w14:textId="615A5E93" w:rsidR="00CF3163" w:rsidRPr="00CF3163" w:rsidRDefault="009177F4" w:rsidP="00F263B8">
      <w:pPr>
        <w:jc w:val="both"/>
        <w:rPr>
          <w:b/>
          <w:bCs/>
        </w:rPr>
      </w:pPr>
      <w:r w:rsidRPr="00CF3163">
        <w:rPr>
          <w:b/>
          <w:bCs/>
        </w:rPr>
        <w:t xml:space="preserve">Proposal 8: </w:t>
      </w:r>
      <w:r w:rsidR="00CF3163" w:rsidRPr="00CF3163">
        <w:rPr>
          <w:b/>
          <w:bCs/>
        </w:rPr>
        <w:t xml:space="preserve">When accessing the new cell, </w:t>
      </w:r>
      <w:r w:rsidR="00BB020E" w:rsidRPr="00CF3163">
        <w:rPr>
          <w:b/>
          <w:bCs/>
        </w:rPr>
        <w:t>UE may report</w:t>
      </w:r>
      <w:r w:rsidR="00E658DE" w:rsidRPr="00CF3163">
        <w:rPr>
          <w:b/>
          <w:bCs/>
        </w:rPr>
        <w:t xml:space="preserve"> it was configured with the chain of CHO configurations</w:t>
      </w:r>
      <w:r w:rsidR="00236FD4">
        <w:rPr>
          <w:b/>
          <w:bCs/>
        </w:rPr>
        <w:t xml:space="preserve"> in </w:t>
      </w:r>
      <w:r w:rsidR="00BE4038">
        <w:rPr>
          <w:b/>
          <w:bCs/>
        </w:rPr>
        <w:t>one of the preceding cells</w:t>
      </w:r>
      <w:r w:rsidR="00CF3163" w:rsidRPr="00CF3163">
        <w:rPr>
          <w:b/>
          <w:bCs/>
        </w:rPr>
        <w:t>.</w:t>
      </w:r>
    </w:p>
    <w:p w14:paraId="658E0CB0" w14:textId="3FB4ACF1" w:rsidR="00623740" w:rsidRDefault="00020450" w:rsidP="00CF3163">
      <w:pPr>
        <w:pStyle w:val="Heading2"/>
      </w:pPr>
      <w:r>
        <w:t>2.4 TN</w:t>
      </w:r>
      <w:r w:rsidR="00CF3163">
        <w:t xml:space="preserve"> – NTN service continuity</w:t>
      </w:r>
    </w:p>
    <w:p w14:paraId="3BC09EFD" w14:textId="55E2CA87" w:rsidR="00CF3163" w:rsidRDefault="00476814" w:rsidP="00F263B8">
      <w:pPr>
        <w:jc w:val="both"/>
      </w:pPr>
      <w:r>
        <w:t>The area of Terrestrial Network’s (TN) interactions with NTN was briefly considered at RAN2#114.</w:t>
      </w:r>
      <w:r w:rsidR="000B7FEE">
        <w:t xml:space="preserve"> One of the </w:t>
      </w:r>
      <w:r w:rsidR="00E35D0E">
        <w:t xml:space="preserve">discussed </w:t>
      </w:r>
      <w:r w:rsidR="000B7FEE">
        <w:t xml:space="preserve">aspects </w:t>
      </w:r>
      <w:r w:rsidR="00E35D0E">
        <w:t>c</w:t>
      </w:r>
      <w:r w:rsidR="000B7FEE">
        <w:t>on</w:t>
      </w:r>
      <w:r w:rsidR="00E35D0E">
        <w:t>cerned</w:t>
      </w:r>
      <w:r w:rsidR="000B7FEE">
        <w:t xml:space="preserve"> idle mode reselections between TN and NTN. Our understanding which we have already expressed in the past is that such procedure can be implement</w:t>
      </w:r>
      <w:r w:rsidR="003518AE">
        <w:t>ed</w:t>
      </w:r>
      <w:r w:rsidR="000B7FEE">
        <w:t xml:space="preserve"> using the existing set of priorities for IDLE mode. It seems to be a justified assumption the TN and NTN will operate in separate carriers/bands, so the assignment of priorities and sub</w:t>
      </w:r>
      <w:r w:rsidR="00C922D3">
        <w:t>-</w:t>
      </w:r>
      <w:r w:rsidR="000B7FEE">
        <w:t>priorities can</w:t>
      </w:r>
      <w:r w:rsidR="003518AE">
        <w:t xml:space="preserve"> sufficiently</w:t>
      </w:r>
      <w:r w:rsidR="000B7FEE">
        <w:t xml:space="preserve"> serve the purpose. </w:t>
      </w:r>
    </w:p>
    <w:p w14:paraId="07521DE5" w14:textId="5BE5458D" w:rsidR="000B7FEE" w:rsidRPr="002F0F87" w:rsidRDefault="000B7FEE" w:rsidP="00F263B8">
      <w:pPr>
        <w:jc w:val="both"/>
        <w:rPr>
          <w:b/>
          <w:bCs/>
        </w:rPr>
      </w:pPr>
      <w:r w:rsidRPr="002F0F87">
        <w:rPr>
          <w:b/>
          <w:bCs/>
        </w:rPr>
        <w:t xml:space="preserve">Proposal 9: </w:t>
      </w:r>
      <w:r w:rsidR="0012648B">
        <w:rPr>
          <w:b/>
          <w:bCs/>
        </w:rPr>
        <w:t xml:space="preserve">In </w:t>
      </w:r>
      <w:r w:rsidR="00020450">
        <w:rPr>
          <w:b/>
          <w:bCs/>
        </w:rPr>
        <w:t>R</w:t>
      </w:r>
      <w:r w:rsidR="0012648B">
        <w:rPr>
          <w:b/>
          <w:bCs/>
        </w:rPr>
        <w:t>elease 17, t</w:t>
      </w:r>
      <w:r w:rsidRPr="002F0F87">
        <w:rPr>
          <w:b/>
          <w:bCs/>
        </w:rPr>
        <w:t xml:space="preserve">he legacy priorities for IDLE mode </w:t>
      </w:r>
      <w:r w:rsidR="002F0F87">
        <w:rPr>
          <w:b/>
          <w:bCs/>
        </w:rPr>
        <w:t>are sufficient for</w:t>
      </w:r>
      <w:r w:rsidRPr="002F0F87">
        <w:rPr>
          <w:b/>
          <w:bCs/>
        </w:rPr>
        <w:t xml:space="preserve"> cell reselections between TN and NTN.</w:t>
      </w:r>
    </w:p>
    <w:p w14:paraId="79143D77" w14:textId="7CB51639" w:rsidR="000B7FEE" w:rsidRDefault="002F0F87" w:rsidP="00F263B8">
      <w:pPr>
        <w:jc w:val="both"/>
      </w:pPr>
      <w:r>
        <w:t>Regarding</w:t>
      </w:r>
      <w:r w:rsidR="00AB6A10">
        <w:t xml:space="preserve"> TN-NTN for RRC_CONNECTED, it is simple to decide the same triggers as for intra-NTN can be used. However, it is somewhat weird </w:t>
      </w:r>
      <w:r w:rsidR="007B01AA">
        <w:t xml:space="preserve">or even not feasible </w:t>
      </w:r>
      <w:r w:rsidR="00AB6A10">
        <w:t>that the UE will have to monitor the reference location of the target cell, when it wants to handover from NTN to TN cell</w:t>
      </w:r>
      <w:r w:rsidR="002A4FAA">
        <w:t xml:space="preserve"> (i.e. would there be any reference location for the TN cell?)</w:t>
      </w:r>
      <w:r w:rsidR="00AB6A10">
        <w:t xml:space="preserve">. Thus, not all combinations are necessarily needed. </w:t>
      </w:r>
    </w:p>
    <w:p w14:paraId="6F18B668" w14:textId="4C06630C" w:rsidR="00AB6A10" w:rsidRPr="00AB6A10" w:rsidRDefault="00AB6A10" w:rsidP="00F263B8">
      <w:pPr>
        <w:jc w:val="both"/>
        <w:rPr>
          <w:b/>
          <w:bCs/>
        </w:rPr>
      </w:pPr>
      <w:r w:rsidRPr="00AB6A10">
        <w:rPr>
          <w:b/>
          <w:bCs/>
        </w:rPr>
        <w:t xml:space="preserve">Observation 5: Not all CHO mechanisms defined for intra-NTN mobility are needed for TN-&gt;NTN or NTN-&gt;TN mobility. </w:t>
      </w:r>
    </w:p>
    <w:p w14:paraId="2C12AFEF" w14:textId="6A5FAB41" w:rsidR="00AB6A10" w:rsidRDefault="00B0173F" w:rsidP="00F263B8">
      <w:pPr>
        <w:jc w:val="both"/>
      </w:pPr>
      <w:r>
        <w:t xml:space="preserve">However, if the </w:t>
      </w:r>
      <w:r w:rsidR="006B7922">
        <w:t xml:space="preserve">motivation of this </w:t>
      </w:r>
      <w:r>
        <w:t xml:space="preserve">decision </w:t>
      </w:r>
      <w:r w:rsidR="006B7922">
        <w:t>wa</w:t>
      </w:r>
      <w:r>
        <w:t xml:space="preserve">s to ensure the full flexibility, while the actual use will depend on individual </w:t>
      </w:r>
      <w:r w:rsidR="006B7922">
        <w:t>network configuration th</w:t>
      </w:r>
      <w:r w:rsidR="00163B78">
        <w:t xml:space="preserve">en it is acceptable. </w:t>
      </w:r>
      <w:r w:rsidR="000D0E2E">
        <w:t xml:space="preserve">This shall be still </w:t>
      </w:r>
      <w:r w:rsidR="00EE7C96">
        <w:t xml:space="preserve">discussed and </w:t>
      </w:r>
      <w:r w:rsidR="000D0E2E">
        <w:t>confirmed</w:t>
      </w:r>
      <w:r w:rsidR="00EE7C96">
        <w:t xml:space="preserve"> in RAN2 what is the exact background</w:t>
      </w:r>
      <w:r w:rsidR="00460B6D">
        <w:t xml:space="preserve"> and use case for</w:t>
      </w:r>
      <w:r w:rsidR="00C415FC">
        <w:t xml:space="preserve"> some of the cases highlighted above.</w:t>
      </w:r>
      <w:r w:rsidR="000D0E2E">
        <w:t xml:space="preserve"> </w:t>
      </w:r>
    </w:p>
    <w:p w14:paraId="72BE7111" w14:textId="44D9AA16" w:rsidR="00F86AB7" w:rsidRPr="001F7CDE" w:rsidRDefault="00F86AB7" w:rsidP="00F263B8">
      <w:pPr>
        <w:jc w:val="both"/>
        <w:rPr>
          <w:b/>
          <w:bCs/>
        </w:rPr>
      </w:pPr>
      <w:r w:rsidRPr="001F7CDE">
        <w:rPr>
          <w:b/>
          <w:bCs/>
        </w:rPr>
        <w:t>Proposal</w:t>
      </w:r>
      <w:r w:rsidR="00DC76A7" w:rsidRPr="001F7CDE">
        <w:rPr>
          <w:b/>
          <w:bCs/>
        </w:rPr>
        <w:t xml:space="preserve"> 10: </w:t>
      </w:r>
      <w:r w:rsidR="00231938" w:rsidRPr="001F7CDE">
        <w:rPr>
          <w:b/>
          <w:bCs/>
        </w:rPr>
        <w:t xml:space="preserve">The exact applicability of </w:t>
      </w:r>
      <w:r w:rsidR="00DE5E3F" w:rsidRPr="001F7CDE">
        <w:rPr>
          <w:b/>
          <w:bCs/>
        </w:rPr>
        <w:t>CHO mechanisms to TN</w:t>
      </w:r>
      <w:r w:rsidR="006C170C" w:rsidRPr="001F7CDE">
        <w:rPr>
          <w:b/>
          <w:bCs/>
        </w:rPr>
        <w:t xml:space="preserve"> </w:t>
      </w:r>
      <w:r w:rsidR="00DE5E3F" w:rsidRPr="001F7CDE">
        <w:rPr>
          <w:b/>
          <w:bCs/>
        </w:rPr>
        <w:t>&lt;-&gt;</w:t>
      </w:r>
      <w:r w:rsidR="006C170C" w:rsidRPr="001F7CDE">
        <w:rPr>
          <w:b/>
          <w:bCs/>
        </w:rPr>
        <w:t xml:space="preserve"> </w:t>
      </w:r>
      <w:r w:rsidR="00DE5E3F" w:rsidRPr="001F7CDE">
        <w:rPr>
          <w:b/>
          <w:bCs/>
        </w:rPr>
        <w:t>NTN individual use cases shall be assessed by RAN2.</w:t>
      </w:r>
    </w:p>
    <w:p w14:paraId="5FF2457F" w14:textId="6D703788" w:rsidR="00A209D6" w:rsidRPr="006E13D1" w:rsidRDefault="00C219A0" w:rsidP="00F263B8">
      <w:pPr>
        <w:pStyle w:val="Heading1"/>
        <w:jc w:val="both"/>
      </w:pPr>
      <w:r>
        <w:t>3</w:t>
      </w:r>
      <w:r w:rsidR="00A209D6" w:rsidRPr="006E13D1">
        <w:tab/>
      </w:r>
      <w:r w:rsidR="008C3057">
        <w:t>Conclusion</w:t>
      </w:r>
    </w:p>
    <w:p w14:paraId="7B7240A4" w14:textId="3C07E2E5" w:rsidR="004F73A7" w:rsidRDefault="00C219A0" w:rsidP="00F263B8">
      <w:pPr>
        <w:jc w:val="both"/>
      </w:pPr>
      <w:r>
        <w:t xml:space="preserve">This paper considered connected </w:t>
      </w:r>
      <w:r w:rsidR="000349F2">
        <w:t xml:space="preserve">and idle </w:t>
      </w:r>
      <w:r>
        <w:t>mode mobility for NTN Rel-17. The following observations and proposals have been</w:t>
      </w:r>
      <w:r w:rsidR="004F73A7">
        <w:t xml:space="preserve"> made</w:t>
      </w:r>
      <w:r w:rsidR="004F4540">
        <w:t>:</w:t>
      </w:r>
    </w:p>
    <w:p w14:paraId="213D063A" w14:textId="77777777" w:rsidR="001E760F" w:rsidRPr="001E760F" w:rsidRDefault="001E760F" w:rsidP="001E760F">
      <w:pPr>
        <w:spacing w:before="240"/>
        <w:jc w:val="both"/>
        <w:rPr>
          <w:b/>
          <w:bCs/>
        </w:rPr>
      </w:pPr>
      <w:r w:rsidRPr="007A4C9A">
        <w:rPr>
          <w:b/>
          <w:bCs/>
        </w:rPr>
        <w:t xml:space="preserve">Observation 1: The use-case for configuring time-based event without radio-based event for CHO execution triggering remains unknown. </w:t>
      </w:r>
    </w:p>
    <w:p w14:paraId="41B1B887" w14:textId="77777777" w:rsidR="001E760F" w:rsidRPr="007A4C9A" w:rsidRDefault="001E760F" w:rsidP="001E760F">
      <w:pPr>
        <w:spacing w:before="240"/>
        <w:jc w:val="both"/>
        <w:rPr>
          <w:b/>
          <w:bCs/>
        </w:rPr>
      </w:pPr>
      <w:r w:rsidRPr="007A4C9A">
        <w:rPr>
          <w:b/>
          <w:bCs/>
        </w:rPr>
        <w:t>Observation 2: The UE in RRC_CONNECTED will be anyway configured to measure the neigh</w:t>
      </w:r>
      <w:r>
        <w:rPr>
          <w:b/>
          <w:bCs/>
        </w:rPr>
        <w:t>b</w:t>
      </w:r>
      <w:r w:rsidRPr="007A4C9A">
        <w:rPr>
          <w:b/>
          <w:bCs/>
        </w:rPr>
        <w:t xml:space="preserve">ouring cells, so there is no considerable gain when the UE does not evaluate the </w:t>
      </w:r>
      <w:proofErr w:type="spellStart"/>
      <w:r w:rsidRPr="007A4C9A">
        <w:rPr>
          <w:b/>
          <w:bCs/>
        </w:rPr>
        <w:t>Ax</w:t>
      </w:r>
      <w:proofErr w:type="spellEnd"/>
      <w:r w:rsidRPr="007A4C9A">
        <w:rPr>
          <w:b/>
          <w:bCs/>
        </w:rPr>
        <w:t xml:space="preserve"> event for CHO execution triggering in NTN.</w:t>
      </w:r>
    </w:p>
    <w:p w14:paraId="70EE2760" w14:textId="77777777" w:rsidR="001E760F" w:rsidRPr="00CA406C" w:rsidRDefault="001E760F" w:rsidP="001E760F">
      <w:pPr>
        <w:spacing w:before="240"/>
        <w:jc w:val="both"/>
        <w:rPr>
          <w:b/>
          <w:bCs/>
        </w:rPr>
      </w:pPr>
      <w:r w:rsidRPr="00CA7CF9">
        <w:rPr>
          <w:b/>
          <w:bCs/>
        </w:rPr>
        <w:t xml:space="preserve">Proposal 1: Time-based event for CHO execution triggering in NTN is always configured with radio-based event (e.g. </w:t>
      </w:r>
      <w:proofErr w:type="spellStart"/>
      <w:r w:rsidRPr="00CA7CF9">
        <w:rPr>
          <w:b/>
          <w:bCs/>
        </w:rPr>
        <w:t>Ax</w:t>
      </w:r>
      <w:proofErr w:type="spellEnd"/>
      <w:r w:rsidRPr="00CA7CF9">
        <w:rPr>
          <w:b/>
          <w:bCs/>
        </w:rPr>
        <w:t>, as defined in NR RRC).</w:t>
      </w:r>
    </w:p>
    <w:p w14:paraId="287549B9" w14:textId="77777777" w:rsidR="008C7EA9" w:rsidRPr="00F267E0" w:rsidRDefault="008C7EA9" w:rsidP="008C7EA9">
      <w:pPr>
        <w:jc w:val="both"/>
        <w:rPr>
          <w:b/>
          <w:bCs/>
        </w:rPr>
      </w:pPr>
      <w:r w:rsidRPr="00F267E0">
        <w:rPr>
          <w:b/>
          <w:bCs/>
        </w:rPr>
        <w:t>Observation 3: In LEO/MEO</w:t>
      </w:r>
      <w:r>
        <w:rPr>
          <w:b/>
          <w:bCs/>
        </w:rPr>
        <w:t xml:space="preserve">, </w:t>
      </w:r>
      <w:r w:rsidRPr="00F267E0">
        <w:rPr>
          <w:b/>
          <w:bCs/>
        </w:rPr>
        <w:t xml:space="preserve">the cell </w:t>
      </w:r>
      <w:proofErr w:type="spellStart"/>
      <w:r w:rsidRPr="00F267E0">
        <w:rPr>
          <w:b/>
          <w:bCs/>
        </w:rPr>
        <w:t>center</w:t>
      </w:r>
      <w:proofErr w:type="spellEnd"/>
      <w:r w:rsidRPr="00F267E0">
        <w:rPr>
          <w:b/>
          <w:bCs/>
        </w:rPr>
        <w:t xml:space="preserve"> </w:t>
      </w:r>
      <w:r>
        <w:rPr>
          <w:b/>
          <w:bCs/>
        </w:rPr>
        <w:t>from RSRP/RSRQ point of view</w:t>
      </w:r>
      <w:r w:rsidRPr="00F267E0">
        <w:rPr>
          <w:b/>
          <w:bCs/>
        </w:rPr>
        <w:t xml:space="preserve"> is likely to be </w:t>
      </w:r>
      <w:r>
        <w:rPr>
          <w:b/>
          <w:bCs/>
        </w:rPr>
        <w:t>determined by the</w:t>
      </w:r>
      <w:r w:rsidRPr="00F267E0">
        <w:rPr>
          <w:b/>
          <w:bCs/>
        </w:rPr>
        <w:t xml:space="preserve"> </w:t>
      </w:r>
      <w:r>
        <w:rPr>
          <w:b/>
          <w:bCs/>
        </w:rPr>
        <w:t xml:space="preserve">corresponding satellite </w:t>
      </w:r>
      <w:r w:rsidRPr="00F267E0">
        <w:rPr>
          <w:b/>
          <w:bCs/>
        </w:rPr>
        <w:t xml:space="preserve">beam </w:t>
      </w:r>
      <w:proofErr w:type="spellStart"/>
      <w:r w:rsidRPr="00F267E0">
        <w:rPr>
          <w:b/>
          <w:bCs/>
        </w:rPr>
        <w:t>center</w:t>
      </w:r>
      <w:proofErr w:type="spellEnd"/>
      <w:r>
        <w:rPr>
          <w:b/>
          <w:bCs/>
        </w:rPr>
        <w:t xml:space="preserve"> location on Earth</w:t>
      </w:r>
      <w:r w:rsidRPr="00F267E0">
        <w:rPr>
          <w:b/>
          <w:bCs/>
        </w:rPr>
        <w:t>.</w:t>
      </w:r>
    </w:p>
    <w:p w14:paraId="50995608" w14:textId="77777777" w:rsidR="008C7EA9" w:rsidRDefault="008C7EA9" w:rsidP="008C7EA9">
      <w:pPr>
        <w:jc w:val="both"/>
        <w:rPr>
          <w:b/>
          <w:bCs/>
        </w:rPr>
      </w:pPr>
      <w:r w:rsidRPr="00E42B60">
        <w:rPr>
          <w:b/>
          <w:bCs/>
        </w:rPr>
        <w:t xml:space="preserve">Observation 4: </w:t>
      </w:r>
      <w:r>
        <w:rPr>
          <w:b/>
          <w:bCs/>
        </w:rPr>
        <w:t xml:space="preserve">A single reference point may be insufficient to reflect the cell </w:t>
      </w:r>
      <w:proofErr w:type="spellStart"/>
      <w:r>
        <w:rPr>
          <w:b/>
          <w:bCs/>
        </w:rPr>
        <w:t>center</w:t>
      </w:r>
      <w:proofErr w:type="spellEnd"/>
      <w:r>
        <w:rPr>
          <w:b/>
          <w:bCs/>
        </w:rPr>
        <w:t>, especially when satellite beams are more elliptical than circular.</w:t>
      </w:r>
    </w:p>
    <w:p w14:paraId="53FFDA77" w14:textId="77777777" w:rsidR="008C7EA9" w:rsidRPr="00FD6C73" w:rsidRDefault="008C7EA9" w:rsidP="008C7EA9">
      <w:pPr>
        <w:jc w:val="both"/>
        <w:rPr>
          <w:b/>
          <w:bCs/>
        </w:rPr>
      </w:pPr>
      <w:r w:rsidRPr="00FD6C73">
        <w:rPr>
          <w:b/>
          <w:bCs/>
        </w:rPr>
        <w:t xml:space="preserve">Proposal 2: There are multiple reference points defined per cell to be jointly used for determining the cell </w:t>
      </w:r>
      <w:proofErr w:type="spellStart"/>
      <w:r w:rsidRPr="00FD6C73">
        <w:rPr>
          <w:b/>
          <w:bCs/>
        </w:rPr>
        <w:t>center</w:t>
      </w:r>
      <w:proofErr w:type="spellEnd"/>
      <w:r w:rsidRPr="00FD6C73">
        <w:rPr>
          <w:b/>
          <w:bCs/>
        </w:rPr>
        <w:t xml:space="preserve"> in NTN </w:t>
      </w:r>
    </w:p>
    <w:p w14:paraId="6516DBF6" w14:textId="77777777" w:rsidR="008C7EA9" w:rsidRPr="002B7C6E" w:rsidRDefault="008C7EA9" w:rsidP="008C7EA9">
      <w:pPr>
        <w:jc w:val="both"/>
        <w:rPr>
          <w:b/>
          <w:bCs/>
        </w:rPr>
      </w:pPr>
      <w:r w:rsidRPr="000943B5">
        <w:rPr>
          <w:b/>
          <w:bCs/>
        </w:rPr>
        <w:t>Proposal 3:  The joint configuration of reference locations for source and target cell for CHO execution triggering in NTN is supported in Rel-17.</w:t>
      </w:r>
    </w:p>
    <w:p w14:paraId="612D026B" w14:textId="77777777" w:rsidR="008C7EA9" w:rsidRDefault="008C7EA9" w:rsidP="008C7EA9">
      <w:pPr>
        <w:jc w:val="both"/>
        <w:rPr>
          <w:b/>
          <w:bCs/>
        </w:rPr>
      </w:pPr>
      <w:r w:rsidRPr="007806CA">
        <w:rPr>
          <w:b/>
          <w:bCs/>
        </w:rPr>
        <w:t>Proposal</w:t>
      </w:r>
      <w:r>
        <w:rPr>
          <w:b/>
          <w:bCs/>
        </w:rPr>
        <w:t xml:space="preserve"> 4</w:t>
      </w:r>
      <w:r w:rsidRPr="007806CA">
        <w:rPr>
          <w:b/>
          <w:bCs/>
        </w:rPr>
        <w:t xml:space="preserve">: </w:t>
      </w:r>
      <w:r>
        <w:rPr>
          <w:b/>
          <w:bCs/>
        </w:rPr>
        <w:t xml:space="preserve">Location-based event for CHO execution triggering is always configured with </w:t>
      </w:r>
      <w:r w:rsidRPr="00AB1C1D">
        <w:rPr>
          <w:b/>
          <w:bCs/>
        </w:rPr>
        <w:t xml:space="preserve">radio-based measurement </w:t>
      </w:r>
      <w:r>
        <w:rPr>
          <w:b/>
          <w:bCs/>
        </w:rPr>
        <w:t xml:space="preserve">event </w:t>
      </w:r>
      <w:r w:rsidRPr="00AB1C1D">
        <w:rPr>
          <w:b/>
          <w:bCs/>
        </w:rPr>
        <w:t>(</w:t>
      </w:r>
      <w:r>
        <w:rPr>
          <w:b/>
          <w:bCs/>
        </w:rPr>
        <w:t>e.g.</w:t>
      </w:r>
      <w:r w:rsidRPr="00AB1C1D">
        <w:rPr>
          <w:b/>
          <w:bCs/>
        </w:rPr>
        <w:t xml:space="preserve"> </w:t>
      </w:r>
      <w:proofErr w:type="spellStart"/>
      <w:r w:rsidRPr="00AB1C1D">
        <w:rPr>
          <w:b/>
          <w:bCs/>
        </w:rPr>
        <w:t>Ax</w:t>
      </w:r>
      <w:proofErr w:type="spellEnd"/>
      <w:r w:rsidRPr="00AB1C1D">
        <w:rPr>
          <w:b/>
          <w:bCs/>
        </w:rPr>
        <w:t>)</w:t>
      </w:r>
      <w:r>
        <w:rPr>
          <w:b/>
          <w:bCs/>
        </w:rPr>
        <w:t>.</w:t>
      </w:r>
    </w:p>
    <w:p w14:paraId="5CC96DA4" w14:textId="77777777" w:rsidR="00C942E7" w:rsidRPr="002A4683" w:rsidRDefault="00C942E7" w:rsidP="00C942E7">
      <w:pPr>
        <w:jc w:val="both"/>
        <w:rPr>
          <w:b/>
          <w:bCs/>
        </w:rPr>
      </w:pPr>
      <w:r w:rsidRPr="00CA406C">
        <w:rPr>
          <w:b/>
          <w:bCs/>
        </w:rPr>
        <w:t xml:space="preserve">Proposal </w:t>
      </w:r>
      <w:r>
        <w:rPr>
          <w:b/>
          <w:bCs/>
        </w:rPr>
        <w:t>5</w:t>
      </w:r>
      <w:r w:rsidRPr="00CA406C">
        <w:rPr>
          <w:b/>
          <w:bCs/>
        </w:rPr>
        <w:t xml:space="preserve">: </w:t>
      </w:r>
      <w:r>
        <w:rPr>
          <w:b/>
          <w:bCs/>
        </w:rPr>
        <w:t>RAN2 is asked to consider how to combine the location</w:t>
      </w:r>
      <w:r w:rsidRPr="00CA406C">
        <w:rPr>
          <w:b/>
          <w:bCs/>
        </w:rPr>
        <w:t>- and radio-based execution conditions for NTN CHO</w:t>
      </w:r>
      <w:r>
        <w:rPr>
          <w:b/>
          <w:bCs/>
        </w:rPr>
        <w:t>.</w:t>
      </w:r>
      <w:r w:rsidRPr="009B5E29">
        <w:rPr>
          <w:b/>
          <w:bCs/>
        </w:rPr>
        <w:t xml:space="preserve"> </w:t>
      </w:r>
    </w:p>
    <w:p w14:paraId="6F672313" w14:textId="77777777" w:rsidR="00020450" w:rsidRDefault="00020450" w:rsidP="00020450">
      <w:pPr>
        <w:jc w:val="both"/>
        <w:rPr>
          <w:b/>
          <w:bCs/>
        </w:rPr>
      </w:pPr>
      <w:r w:rsidRPr="00264557">
        <w:rPr>
          <w:b/>
          <w:bCs/>
        </w:rPr>
        <w:t xml:space="preserve">Proposal </w:t>
      </w:r>
      <w:r>
        <w:rPr>
          <w:b/>
          <w:bCs/>
        </w:rPr>
        <w:t>6</w:t>
      </w:r>
      <w:r w:rsidRPr="00264557">
        <w:rPr>
          <w:b/>
          <w:bCs/>
        </w:rPr>
        <w:t xml:space="preserve">: </w:t>
      </w:r>
      <w:r>
        <w:rPr>
          <w:b/>
          <w:bCs/>
        </w:rPr>
        <w:t xml:space="preserve">RAN2 is asked to support the mechanism, where the UE can be provided with CHO configurations for cells beyond the next cell change (future candidate cells). </w:t>
      </w:r>
    </w:p>
    <w:p w14:paraId="5A900CA0" w14:textId="77777777" w:rsidR="00020450" w:rsidRPr="00A84AD3" w:rsidRDefault="00020450" w:rsidP="00020450">
      <w:pPr>
        <w:jc w:val="both"/>
        <w:rPr>
          <w:b/>
          <w:bCs/>
        </w:rPr>
      </w:pPr>
      <w:r w:rsidRPr="00A84AD3">
        <w:rPr>
          <w:b/>
          <w:bCs/>
        </w:rPr>
        <w:t>Proposal 7: UE’s expected time of stay in the cell can be used for avoiding too early resource reservations.</w:t>
      </w:r>
    </w:p>
    <w:p w14:paraId="7B6F601E" w14:textId="77777777" w:rsidR="00020450" w:rsidRPr="00CF3163" w:rsidRDefault="00020450" w:rsidP="00020450">
      <w:pPr>
        <w:jc w:val="both"/>
        <w:rPr>
          <w:b/>
          <w:bCs/>
        </w:rPr>
      </w:pPr>
      <w:r w:rsidRPr="00CF3163">
        <w:rPr>
          <w:b/>
          <w:bCs/>
        </w:rPr>
        <w:t>Proposal 8: When accessing the new cell, UE may report it was configured with the chain of CHO configurations</w:t>
      </w:r>
      <w:r>
        <w:rPr>
          <w:b/>
          <w:bCs/>
        </w:rPr>
        <w:t xml:space="preserve"> in one of the preceding cells</w:t>
      </w:r>
      <w:r w:rsidRPr="00CF3163">
        <w:rPr>
          <w:b/>
          <w:bCs/>
        </w:rPr>
        <w:t>.</w:t>
      </w:r>
    </w:p>
    <w:p w14:paraId="6710B9D2" w14:textId="77777777" w:rsidR="00020450" w:rsidRPr="002F0F87" w:rsidRDefault="00020450" w:rsidP="00020450">
      <w:pPr>
        <w:jc w:val="both"/>
        <w:rPr>
          <w:b/>
          <w:bCs/>
        </w:rPr>
      </w:pPr>
      <w:r w:rsidRPr="002F0F87">
        <w:rPr>
          <w:b/>
          <w:bCs/>
        </w:rPr>
        <w:t xml:space="preserve">Proposal 9: </w:t>
      </w:r>
      <w:r>
        <w:rPr>
          <w:b/>
          <w:bCs/>
        </w:rPr>
        <w:t>In Release 17, t</w:t>
      </w:r>
      <w:r w:rsidRPr="002F0F87">
        <w:rPr>
          <w:b/>
          <w:bCs/>
        </w:rPr>
        <w:t xml:space="preserve">he legacy priorities for IDLE mode </w:t>
      </w:r>
      <w:r>
        <w:rPr>
          <w:b/>
          <w:bCs/>
        </w:rPr>
        <w:t>are sufficient for</w:t>
      </w:r>
      <w:r w:rsidRPr="002F0F87">
        <w:rPr>
          <w:b/>
          <w:bCs/>
        </w:rPr>
        <w:t xml:space="preserve"> cell reselections between TN and NTN.</w:t>
      </w:r>
    </w:p>
    <w:p w14:paraId="11F5FE6C" w14:textId="77777777" w:rsidR="00177B75" w:rsidRPr="00AB6A10" w:rsidRDefault="00177B75" w:rsidP="00177B75">
      <w:pPr>
        <w:jc w:val="both"/>
        <w:rPr>
          <w:b/>
          <w:bCs/>
        </w:rPr>
      </w:pPr>
      <w:r w:rsidRPr="00AB6A10">
        <w:rPr>
          <w:b/>
          <w:bCs/>
        </w:rPr>
        <w:t xml:space="preserve">Observation 5: Not all CHO mechanisms defined for intra-NTN mobility are needed for TN-&gt;NTN or NTN-&gt;TN mobility. </w:t>
      </w:r>
    </w:p>
    <w:p w14:paraId="2BDE14B9" w14:textId="4389BA7E" w:rsidR="000349F2" w:rsidRPr="0026108C" w:rsidRDefault="0026108C" w:rsidP="00F263B8">
      <w:pPr>
        <w:jc w:val="both"/>
        <w:rPr>
          <w:b/>
          <w:bCs/>
        </w:rPr>
      </w:pPr>
      <w:r w:rsidRPr="001F7CDE">
        <w:rPr>
          <w:b/>
          <w:bCs/>
        </w:rPr>
        <w:t>Proposal 10: The exact applicability of CHO mechanisms to TN &lt;-&gt; NTN individual use cases shall be assessed by RAN2.</w:t>
      </w:r>
    </w:p>
    <w:p w14:paraId="21C353FA" w14:textId="3FF695C8" w:rsidR="00923740" w:rsidRDefault="00923740" w:rsidP="00F263B8">
      <w:pPr>
        <w:pStyle w:val="Heading1"/>
        <w:jc w:val="both"/>
      </w:pPr>
      <w:r>
        <w:t>References</w:t>
      </w:r>
    </w:p>
    <w:p w14:paraId="71DCFD4F" w14:textId="4FC502C7" w:rsidR="00923740" w:rsidRDefault="00923740" w:rsidP="00F263B8">
      <w:pPr>
        <w:jc w:val="both"/>
      </w:pPr>
      <w:r>
        <w:t xml:space="preserve">[1] R2-2102016 </w:t>
      </w:r>
      <w:r w:rsidRPr="00C91605">
        <w:rPr>
          <w:i/>
          <w:iCs/>
        </w:rPr>
        <w:t>Report of [AT113-e][106][NTN] CHO aspects (Ericsson)</w:t>
      </w:r>
      <w:r>
        <w:t xml:space="preserve"> 3GPP TSG-RAN WG2 Meeting #113 electronic, January 25th - February 5th, 2021</w:t>
      </w:r>
    </w:p>
    <w:p w14:paraId="540870EC" w14:textId="7476CF66" w:rsidR="0057728A" w:rsidRDefault="0057728A" w:rsidP="00F263B8">
      <w:pPr>
        <w:jc w:val="both"/>
      </w:pPr>
      <w:r>
        <w:t xml:space="preserve">[2] </w:t>
      </w:r>
      <w:r w:rsidRPr="0057728A">
        <w:t>R2-2104373</w:t>
      </w:r>
      <w:r w:rsidRPr="0057728A">
        <w:tab/>
      </w:r>
      <w:r w:rsidRPr="0057728A">
        <w:rPr>
          <w:i/>
          <w:iCs/>
        </w:rPr>
        <w:t>Summary of offline 107 - [NTN] CHO aspects - second round</w:t>
      </w:r>
      <w:r w:rsidRPr="0057728A">
        <w:tab/>
        <w:t>Nokia</w:t>
      </w:r>
      <w:r>
        <w:tab/>
        <w:t>3GPP TSG-RAN WG2 Meeting #113bis electronic, 12 – 20th of April 2021</w:t>
      </w:r>
    </w:p>
    <w:p w14:paraId="0CFF63FC" w14:textId="7B744719" w:rsidR="000306BB" w:rsidRDefault="000306BB" w:rsidP="00F263B8">
      <w:pPr>
        <w:jc w:val="both"/>
      </w:pPr>
      <w:r>
        <w:t>[3] R2-2104302</w:t>
      </w:r>
      <w:r>
        <w:tab/>
      </w:r>
      <w:r w:rsidRPr="005048A2">
        <w:rPr>
          <w:i/>
          <w:iCs/>
        </w:rPr>
        <w:t>Report from Break-out session on R17 NTN and REDCAP</w:t>
      </w:r>
      <w:r w:rsidR="005048A2">
        <w:t xml:space="preserve"> </w:t>
      </w:r>
      <w:r w:rsidR="005048A2">
        <w:tab/>
        <w:t>3GPP TSG-RAN WG2 Meeting #113bis electronic, 12 – 20th of April 2021</w:t>
      </w:r>
    </w:p>
    <w:p w14:paraId="04E57B27" w14:textId="791F8D43" w:rsidR="008557D7" w:rsidRDefault="008557D7" w:rsidP="00F263B8">
      <w:pPr>
        <w:jc w:val="both"/>
      </w:pPr>
      <w:r>
        <w:t>[</w:t>
      </w:r>
      <w:r w:rsidR="0070763F">
        <w:t>4</w:t>
      </w:r>
      <w:r>
        <w:t xml:space="preserve">] </w:t>
      </w:r>
      <w:r w:rsidR="0008138E">
        <w:t xml:space="preserve">R2-2106472 </w:t>
      </w:r>
      <w:r w:rsidR="0008138E" w:rsidRPr="0008138E">
        <w:rPr>
          <w:i/>
          <w:iCs/>
        </w:rPr>
        <w:t>Report from Break-out session on R17 NTN and REDCAP</w:t>
      </w:r>
      <w:r w:rsidR="0008138E">
        <w:t xml:space="preserve"> 3GPP TSG-RAN WG2 Meeting #11</w:t>
      </w:r>
      <w:r w:rsidR="000349F2">
        <w:t>4</w:t>
      </w:r>
      <w:r w:rsidR="0008138E">
        <w:t xml:space="preserve"> electronic, 1</w:t>
      </w:r>
      <w:r w:rsidR="000349F2">
        <w:t>9</w:t>
      </w:r>
      <w:r w:rsidR="0008138E">
        <w:t xml:space="preserve"> – </w:t>
      </w:r>
      <w:r w:rsidR="000349F2">
        <w:t>27</w:t>
      </w:r>
      <w:r w:rsidR="0008138E">
        <w:t xml:space="preserve">th of </w:t>
      </w:r>
      <w:r w:rsidR="000349F2">
        <w:t>May</w:t>
      </w:r>
      <w:r w:rsidR="0008138E">
        <w:t xml:space="preserve"> 2021</w:t>
      </w:r>
    </w:p>
    <w:p w14:paraId="74D1B334" w14:textId="671E8F3C" w:rsidR="00E16F8B" w:rsidRPr="00923740" w:rsidRDefault="00E16F8B" w:rsidP="00F263B8">
      <w:pPr>
        <w:jc w:val="both"/>
      </w:pPr>
      <w:r>
        <w:rPr>
          <w:lang w:val="en-US"/>
        </w:rPr>
        <w:t>[</w:t>
      </w:r>
      <w:r w:rsidR="0070763F">
        <w:rPr>
          <w:lang w:val="en-US"/>
        </w:rPr>
        <w:t>5</w:t>
      </w:r>
      <w:r>
        <w:rPr>
          <w:lang w:val="en-US"/>
        </w:rPr>
        <w:t xml:space="preserve">] </w:t>
      </w:r>
      <w:hyperlink r:id="rId14" w:tooltip="C:Data3GPPExtractsR2-2100744.doc" w:history="1">
        <w:r w:rsidRPr="0033702D">
          <w:rPr>
            <w:lang w:val="en-US"/>
          </w:rPr>
          <w:t>R2-2100744</w:t>
        </w:r>
      </w:hyperlink>
      <w:r w:rsidR="00873554">
        <w:rPr>
          <w:lang w:val="en-US"/>
        </w:rPr>
        <w:t xml:space="preserve"> </w:t>
      </w:r>
      <w:r w:rsidR="00873554" w:rsidRPr="00C91605">
        <w:rPr>
          <w:i/>
          <w:iCs/>
        </w:rPr>
        <w:t>Configuration and execution of CHO</w:t>
      </w:r>
      <w:r w:rsidR="00873554">
        <w:t xml:space="preserve"> 3GPP TSG-RAN WG2 Meeting #113 electronic, January 25th - February 5th, 2021</w:t>
      </w:r>
    </w:p>
    <w:sectPr w:rsidR="00E16F8B" w:rsidRPr="009237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520C" w14:textId="77777777" w:rsidR="003B0177" w:rsidRDefault="003B0177">
      <w:r>
        <w:separator/>
      </w:r>
    </w:p>
  </w:endnote>
  <w:endnote w:type="continuationSeparator" w:id="0">
    <w:p w14:paraId="154D4452" w14:textId="77777777" w:rsidR="003B0177" w:rsidRDefault="003B0177">
      <w:r>
        <w:continuationSeparator/>
      </w:r>
    </w:p>
  </w:endnote>
  <w:endnote w:type="continuationNotice" w:id="1">
    <w:p w14:paraId="28B159B9" w14:textId="77777777" w:rsidR="003B0177" w:rsidRDefault="003B0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2D2FE" w14:textId="77777777" w:rsidR="003B0177" w:rsidRDefault="003B0177">
      <w:r>
        <w:separator/>
      </w:r>
    </w:p>
  </w:footnote>
  <w:footnote w:type="continuationSeparator" w:id="0">
    <w:p w14:paraId="4108326B" w14:textId="77777777" w:rsidR="003B0177" w:rsidRDefault="003B0177">
      <w:r>
        <w:continuationSeparator/>
      </w:r>
    </w:p>
  </w:footnote>
  <w:footnote w:type="continuationNotice" w:id="1">
    <w:p w14:paraId="28ED2F65" w14:textId="77777777" w:rsidR="003B0177" w:rsidRDefault="003B0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52085"/>
    <w:multiLevelType w:val="hybridMultilevel"/>
    <w:tmpl w:val="9C74BB28"/>
    <w:lvl w:ilvl="0" w:tplc="2EDC32A6">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D6EC2"/>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6E0FAE"/>
    <w:multiLevelType w:val="hybridMultilevel"/>
    <w:tmpl w:val="5C583516"/>
    <w:lvl w:ilvl="0" w:tplc="04150017">
      <w:start w:val="1"/>
      <w:numFmt w:val="lowerLetter"/>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9F3017"/>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160700"/>
    <w:multiLevelType w:val="hybridMultilevel"/>
    <w:tmpl w:val="51A45BD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E187E62"/>
    <w:multiLevelType w:val="hybridMultilevel"/>
    <w:tmpl w:val="8982E0EE"/>
    <w:lvl w:ilvl="0" w:tplc="446C4F3A">
      <w:start w:val="1"/>
      <w:numFmt w:val="bullet"/>
      <w:lvlText w:val="-"/>
      <w:lvlJc w:val="left"/>
      <w:pPr>
        <w:ind w:left="774" w:hanging="360"/>
      </w:pPr>
      <w:rPr>
        <w:rFonts w:ascii="Arial" w:eastAsia="MS Mincho" w:hAnsi="Arial" w:cs="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2" w15:restartNumberingAfterBreak="0">
    <w:nsid w:val="70913118"/>
    <w:multiLevelType w:val="hybridMultilevel"/>
    <w:tmpl w:val="63646F6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10"/>
  </w:num>
  <w:num w:numId="8">
    <w:abstractNumId w:val="8"/>
  </w:num>
  <w:num w:numId="9">
    <w:abstractNumId w:val="12"/>
  </w:num>
  <w:num w:numId="10">
    <w:abstractNumId w:val="11"/>
  </w:num>
  <w:num w:numId="11">
    <w:abstractNumId w:val="2"/>
  </w:num>
  <w:num w:numId="12">
    <w:abstractNumId w:val="7"/>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6C"/>
    <w:rsid w:val="00005FBE"/>
    <w:rsid w:val="0001350C"/>
    <w:rsid w:val="000136AD"/>
    <w:rsid w:val="00016557"/>
    <w:rsid w:val="00020450"/>
    <w:rsid w:val="00023C40"/>
    <w:rsid w:val="000306BB"/>
    <w:rsid w:val="00033397"/>
    <w:rsid w:val="000349F2"/>
    <w:rsid w:val="00040095"/>
    <w:rsid w:val="00044E65"/>
    <w:rsid w:val="00056A9B"/>
    <w:rsid w:val="000650D5"/>
    <w:rsid w:val="000723C8"/>
    <w:rsid w:val="00073C9C"/>
    <w:rsid w:val="00080512"/>
    <w:rsid w:val="0008138E"/>
    <w:rsid w:val="0008151A"/>
    <w:rsid w:val="00081620"/>
    <w:rsid w:val="0008194D"/>
    <w:rsid w:val="00083F2E"/>
    <w:rsid w:val="00086B4C"/>
    <w:rsid w:val="00090468"/>
    <w:rsid w:val="00091419"/>
    <w:rsid w:val="000943B5"/>
    <w:rsid w:val="00094568"/>
    <w:rsid w:val="0009792B"/>
    <w:rsid w:val="000B159A"/>
    <w:rsid w:val="000B2308"/>
    <w:rsid w:val="000B415A"/>
    <w:rsid w:val="000B5526"/>
    <w:rsid w:val="000B7324"/>
    <w:rsid w:val="000B7BCF"/>
    <w:rsid w:val="000B7FEE"/>
    <w:rsid w:val="000C458A"/>
    <w:rsid w:val="000C522B"/>
    <w:rsid w:val="000C6B64"/>
    <w:rsid w:val="000D0687"/>
    <w:rsid w:val="000D0E2E"/>
    <w:rsid w:val="000D58AB"/>
    <w:rsid w:val="000D5FD0"/>
    <w:rsid w:val="000E1289"/>
    <w:rsid w:val="000E7CA0"/>
    <w:rsid w:val="000F11C2"/>
    <w:rsid w:val="000F51CC"/>
    <w:rsid w:val="00100EE5"/>
    <w:rsid w:val="00112F1A"/>
    <w:rsid w:val="00116847"/>
    <w:rsid w:val="00121F8E"/>
    <w:rsid w:val="0012443C"/>
    <w:rsid w:val="0012648B"/>
    <w:rsid w:val="00127641"/>
    <w:rsid w:val="00130C5D"/>
    <w:rsid w:val="00143B32"/>
    <w:rsid w:val="00145075"/>
    <w:rsid w:val="00160D68"/>
    <w:rsid w:val="00161C7F"/>
    <w:rsid w:val="00163B78"/>
    <w:rsid w:val="0016581E"/>
    <w:rsid w:val="001677D5"/>
    <w:rsid w:val="001741A0"/>
    <w:rsid w:val="00175FA0"/>
    <w:rsid w:val="00176092"/>
    <w:rsid w:val="0017741A"/>
    <w:rsid w:val="001776B6"/>
    <w:rsid w:val="00177B75"/>
    <w:rsid w:val="00184196"/>
    <w:rsid w:val="00184CA4"/>
    <w:rsid w:val="00194CD0"/>
    <w:rsid w:val="00196C2E"/>
    <w:rsid w:val="001A27BC"/>
    <w:rsid w:val="001A6D3E"/>
    <w:rsid w:val="001A7498"/>
    <w:rsid w:val="001B0C4A"/>
    <w:rsid w:val="001B2E90"/>
    <w:rsid w:val="001B3FB9"/>
    <w:rsid w:val="001B49C9"/>
    <w:rsid w:val="001C068B"/>
    <w:rsid w:val="001C23F4"/>
    <w:rsid w:val="001C4F79"/>
    <w:rsid w:val="001E0744"/>
    <w:rsid w:val="001E1AA2"/>
    <w:rsid w:val="001E6FCE"/>
    <w:rsid w:val="001E760F"/>
    <w:rsid w:val="001F168B"/>
    <w:rsid w:val="001F2805"/>
    <w:rsid w:val="001F62BB"/>
    <w:rsid w:val="001F68C6"/>
    <w:rsid w:val="001F7831"/>
    <w:rsid w:val="001F7CDE"/>
    <w:rsid w:val="00204045"/>
    <w:rsid w:val="00206638"/>
    <w:rsid w:val="0020712B"/>
    <w:rsid w:val="00211D00"/>
    <w:rsid w:val="0021500A"/>
    <w:rsid w:val="00217564"/>
    <w:rsid w:val="0022606D"/>
    <w:rsid w:val="002302A8"/>
    <w:rsid w:val="00231728"/>
    <w:rsid w:val="00231938"/>
    <w:rsid w:val="0023538F"/>
    <w:rsid w:val="00236FD4"/>
    <w:rsid w:val="00242E8E"/>
    <w:rsid w:val="00244A05"/>
    <w:rsid w:val="002470F1"/>
    <w:rsid w:val="002477E8"/>
    <w:rsid w:val="00250404"/>
    <w:rsid w:val="00260052"/>
    <w:rsid w:val="0026108C"/>
    <w:rsid w:val="002610D8"/>
    <w:rsid w:val="00263884"/>
    <w:rsid w:val="00264557"/>
    <w:rsid w:val="00267991"/>
    <w:rsid w:val="002747EC"/>
    <w:rsid w:val="002805BD"/>
    <w:rsid w:val="00282E3C"/>
    <w:rsid w:val="002855BF"/>
    <w:rsid w:val="00292A55"/>
    <w:rsid w:val="002962D7"/>
    <w:rsid w:val="002976A9"/>
    <w:rsid w:val="002A3516"/>
    <w:rsid w:val="002A4683"/>
    <w:rsid w:val="002A4FAA"/>
    <w:rsid w:val="002B7C6E"/>
    <w:rsid w:val="002C08BE"/>
    <w:rsid w:val="002C1B7B"/>
    <w:rsid w:val="002C6D50"/>
    <w:rsid w:val="002D38B8"/>
    <w:rsid w:val="002E315D"/>
    <w:rsid w:val="002F0B65"/>
    <w:rsid w:val="002F0D22"/>
    <w:rsid w:val="002F0F87"/>
    <w:rsid w:val="002F1FD9"/>
    <w:rsid w:val="002F31C7"/>
    <w:rsid w:val="003072F4"/>
    <w:rsid w:val="00311B17"/>
    <w:rsid w:val="00312F19"/>
    <w:rsid w:val="00316E97"/>
    <w:rsid w:val="003172DC"/>
    <w:rsid w:val="0032310A"/>
    <w:rsid w:val="00325AE3"/>
    <w:rsid w:val="00326069"/>
    <w:rsid w:val="003318EC"/>
    <w:rsid w:val="00341AD0"/>
    <w:rsid w:val="003438B8"/>
    <w:rsid w:val="00343CCC"/>
    <w:rsid w:val="00351312"/>
    <w:rsid w:val="003518AE"/>
    <w:rsid w:val="0035462D"/>
    <w:rsid w:val="00355781"/>
    <w:rsid w:val="00360344"/>
    <w:rsid w:val="0036459E"/>
    <w:rsid w:val="00364B41"/>
    <w:rsid w:val="003768E2"/>
    <w:rsid w:val="00383096"/>
    <w:rsid w:val="003848C4"/>
    <w:rsid w:val="003860EF"/>
    <w:rsid w:val="0039346C"/>
    <w:rsid w:val="00395D6A"/>
    <w:rsid w:val="003A1629"/>
    <w:rsid w:val="003A41EF"/>
    <w:rsid w:val="003B0177"/>
    <w:rsid w:val="003B40AD"/>
    <w:rsid w:val="003C31BE"/>
    <w:rsid w:val="003C4E37"/>
    <w:rsid w:val="003C531A"/>
    <w:rsid w:val="003C5325"/>
    <w:rsid w:val="003C7AFC"/>
    <w:rsid w:val="003D33C2"/>
    <w:rsid w:val="003E16BE"/>
    <w:rsid w:val="003E3F0E"/>
    <w:rsid w:val="003E418F"/>
    <w:rsid w:val="003F2A13"/>
    <w:rsid w:val="003F2AA3"/>
    <w:rsid w:val="003F430B"/>
    <w:rsid w:val="003F4E28"/>
    <w:rsid w:val="004006E8"/>
    <w:rsid w:val="00401855"/>
    <w:rsid w:val="0040242C"/>
    <w:rsid w:val="00402B0D"/>
    <w:rsid w:val="00403A68"/>
    <w:rsid w:val="004043E2"/>
    <w:rsid w:val="004076D3"/>
    <w:rsid w:val="004173D1"/>
    <w:rsid w:val="00417CEB"/>
    <w:rsid w:val="00437627"/>
    <w:rsid w:val="00447F8B"/>
    <w:rsid w:val="00454316"/>
    <w:rsid w:val="0046053C"/>
    <w:rsid w:val="00460B6D"/>
    <w:rsid w:val="00465587"/>
    <w:rsid w:val="00472587"/>
    <w:rsid w:val="00475E1D"/>
    <w:rsid w:val="00476814"/>
    <w:rsid w:val="00477455"/>
    <w:rsid w:val="004778A1"/>
    <w:rsid w:val="00483608"/>
    <w:rsid w:val="0048689F"/>
    <w:rsid w:val="00487321"/>
    <w:rsid w:val="00491993"/>
    <w:rsid w:val="00492D0E"/>
    <w:rsid w:val="004959BA"/>
    <w:rsid w:val="004A04BE"/>
    <w:rsid w:val="004A1F7B"/>
    <w:rsid w:val="004B4986"/>
    <w:rsid w:val="004B4A22"/>
    <w:rsid w:val="004B69FD"/>
    <w:rsid w:val="004C44D2"/>
    <w:rsid w:val="004C53F9"/>
    <w:rsid w:val="004C778B"/>
    <w:rsid w:val="004D1CE4"/>
    <w:rsid w:val="004D3578"/>
    <w:rsid w:val="004D380D"/>
    <w:rsid w:val="004E213A"/>
    <w:rsid w:val="004F4540"/>
    <w:rsid w:val="004F73A7"/>
    <w:rsid w:val="00503171"/>
    <w:rsid w:val="00503D84"/>
    <w:rsid w:val="005048A2"/>
    <w:rsid w:val="00506C28"/>
    <w:rsid w:val="005163CB"/>
    <w:rsid w:val="00522881"/>
    <w:rsid w:val="00531C4C"/>
    <w:rsid w:val="00534DA0"/>
    <w:rsid w:val="00535620"/>
    <w:rsid w:val="005410D8"/>
    <w:rsid w:val="005421D7"/>
    <w:rsid w:val="005438A1"/>
    <w:rsid w:val="00543E6C"/>
    <w:rsid w:val="00544092"/>
    <w:rsid w:val="00547584"/>
    <w:rsid w:val="005524DA"/>
    <w:rsid w:val="005533EA"/>
    <w:rsid w:val="00565087"/>
    <w:rsid w:val="00565371"/>
    <w:rsid w:val="00565499"/>
    <w:rsid w:val="0056573F"/>
    <w:rsid w:val="00567E2E"/>
    <w:rsid w:val="005710FD"/>
    <w:rsid w:val="00571279"/>
    <w:rsid w:val="0057728A"/>
    <w:rsid w:val="00577B57"/>
    <w:rsid w:val="00585830"/>
    <w:rsid w:val="0059443D"/>
    <w:rsid w:val="00595016"/>
    <w:rsid w:val="005A1059"/>
    <w:rsid w:val="005A49C6"/>
    <w:rsid w:val="005C76DC"/>
    <w:rsid w:val="005D015A"/>
    <w:rsid w:val="005D1D30"/>
    <w:rsid w:val="005D714A"/>
    <w:rsid w:val="005E1909"/>
    <w:rsid w:val="005E4C6D"/>
    <w:rsid w:val="005F2FDD"/>
    <w:rsid w:val="00603D49"/>
    <w:rsid w:val="00604A58"/>
    <w:rsid w:val="00605699"/>
    <w:rsid w:val="00606612"/>
    <w:rsid w:val="00611566"/>
    <w:rsid w:val="00615441"/>
    <w:rsid w:val="00615523"/>
    <w:rsid w:val="00623740"/>
    <w:rsid w:val="00631939"/>
    <w:rsid w:val="00637A72"/>
    <w:rsid w:val="00644A48"/>
    <w:rsid w:val="00646D99"/>
    <w:rsid w:val="006540DD"/>
    <w:rsid w:val="00655EA7"/>
    <w:rsid w:val="00656910"/>
    <w:rsid w:val="006574C0"/>
    <w:rsid w:val="00661A04"/>
    <w:rsid w:val="00661FD2"/>
    <w:rsid w:val="0066407B"/>
    <w:rsid w:val="006654D2"/>
    <w:rsid w:val="006666A4"/>
    <w:rsid w:val="00686762"/>
    <w:rsid w:val="00696821"/>
    <w:rsid w:val="00696F37"/>
    <w:rsid w:val="006B117C"/>
    <w:rsid w:val="006B6DAA"/>
    <w:rsid w:val="006B7922"/>
    <w:rsid w:val="006C170C"/>
    <w:rsid w:val="006C2B5D"/>
    <w:rsid w:val="006C64E9"/>
    <w:rsid w:val="006C66D8"/>
    <w:rsid w:val="006D1E24"/>
    <w:rsid w:val="006D35DE"/>
    <w:rsid w:val="006E1417"/>
    <w:rsid w:val="006E4D0C"/>
    <w:rsid w:val="006E70EC"/>
    <w:rsid w:val="006E798D"/>
    <w:rsid w:val="006F6A2C"/>
    <w:rsid w:val="00700EB8"/>
    <w:rsid w:val="007024F6"/>
    <w:rsid w:val="007032DE"/>
    <w:rsid w:val="00705C59"/>
    <w:rsid w:val="007069DC"/>
    <w:rsid w:val="0070763F"/>
    <w:rsid w:val="00710201"/>
    <w:rsid w:val="0071337B"/>
    <w:rsid w:val="00715A63"/>
    <w:rsid w:val="0072073A"/>
    <w:rsid w:val="007320CE"/>
    <w:rsid w:val="007342B5"/>
    <w:rsid w:val="00734A5B"/>
    <w:rsid w:val="0074318A"/>
    <w:rsid w:val="00744E76"/>
    <w:rsid w:val="007455B4"/>
    <w:rsid w:val="00747E75"/>
    <w:rsid w:val="00750C83"/>
    <w:rsid w:val="00754FB0"/>
    <w:rsid w:val="00757D40"/>
    <w:rsid w:val="007662B5"/>
    <w:rsid w:val="007715B0"/>
    <w:rsid w:val="00775DE5"/>
    <w:rsid w:val="0077682B"/>
    <w:rsid w:val="007806CA"/>
    <w:rsid w:val="00781F0F"/>
    <w:rsid w:val="0078727C"/>
    <w:rsid w:val="007903C7"/>
    <w:rsid w:val="0079049D"/>
    <w:rsid w:val="0079194E"/>
    <w:rsid w:val="00793DC5"/>
    <w:rsid w:val="00796823"/>
    <w:rsid w:val="00796DCD"/>
    <w:rsid w:val="007A2E55"/>
    <w:rsid w:val="007A4C9A"/>
    <w:rsid w:val="007B01AA"/>
    <w:rsid w:val="007B18D8"/>
    <w:rsid w:val="007C095F"/>
    <w:rsid w:val="007C0A68"/>
    <w:rsid w:val="007C243C"/>
    <w:rsid w:val="007C2DD0"/>
    <w:rsid w:val="007C2FD7"/>
    <w:rsid w:val="007C337E"/>
    <w:rsid w:val="007C7A81"/>
    <w:rsid w:val="007D0C42"/>
    <w:rsid w:val="007D4804"/>
    <w:rsid w:val="007D661A"/>
    <w:rsid w:val="007F1324"/>
    <w:rsid w:val="007F2E08"/>
    <w:rsid w:val="007F52AA"/>
    <w:rsid w:val="007F76B2"/>
    <w:rsid w:val="00801B52"/>
    <w:rsid w:val="008028A4"/>
    <w:rsid w:val="00813245"/>
    <w:rsid w:val="00813D14"/>
    <w:rsid w:val="00814F50"/>
    <w:rsid w:val="0082175E"/>
    <w:rsid w:val="00822D62"/>
    <w:rsid w:val="008265AA"/>
    <w:rsid w:val="00826CC8"/>
    <w:rsid w:val="00833782"/>
    <w:rsid w:val="00834CE8"/>
    <w:rsid w:val="00840DE0"/>
    <w:rsid w:val="00846FA3"/>
    <w:rsid w:val="008557D7"/>
    <w:rsid w:val="008607A8"/>
    <w:rsid w:val="0086354A"/>
    <w:rsid w:val="0087147C"/>
    <w:rsid w:val="00873554"/>
    <w:rsid w:val="00874207"/>
    <w:rsid w:val="008768CA"/>
    <w:rsid w:val="0087760D"/>
    <w:rsid w:val="00877EF9"/>
    <w:rsid w:val="00880559"/>
    <w:rsid w:val="008870C4"/>
    <w:rsid w:val="008A1661"/>
    <w:rsid w:val="008B5306"/>
    <w:rsid w:val="008B58EF"/>
    <w:rsid w:val="008C11AB"/>
    <w:rsid w:val="008C1F2A"/>
    <w:rsid w:val="008C2E2A"/>
    <w:rsid w:val="008C3057"/>
    <w:rsid w:val="008C64FE"/>
    <w:rsid w:val="008C7EA9"/>
    <w:rsid w:val="008D2E4D"/>
    <w:rsid w:val="008E5E95"/>
    <w:rsid w:val="008F2ECB"/>
    <w:rsid w:val="008F396F"/>
    <w:rsid w:val="008F3DCD"/>
    <w:rsid w:val="008F454D"/>
    <w:rsid w:val="008F5BA6"/>
    <w:rsid w:val="008F64F2"/>
    <w:rsid w:val="0090011B"/>
    <w:rsid w:val="00900F58"/>
    <w:rsid w:val="009018E3"/>
    <w:rsid w:val="0090271F"/>
    <w:rsid w:val="00902DB9"/>
    <w:rsid w:val="0090466A"/>
    <w:rsid w:val="00904D57"/>
    <w:rsid w:val="009056E5"/>
    <w:rsid w:val="009131E0"/>
    <w:rsid w:val="009173FB"/>
    <w:rsid w:val="009176AC"/>
    <w:rsid w:val="009177F4"/>
    <w:rsid w:val="00921415"/>
    <w:rsid w:val="00921EF1"/>
    <w:rsid w:val="00923655"/>
    <w:rsid w:val="00923740"/>
    <w:rsid w:val="00936071"/>
    <w:rsid w:val="009376CD"/>
    <w:rsid w:val="00940212"/>
    <w:rsid w:val="00942EC2"/>
    <w:rsid w:val="009474E1"/>
    <w:rsid w:val="00953709"/>
    <w:rsid w:val="00957581"/>
    <w:rsid w:val="00961B32"/>
    <w:rsid w:val="00962509"/>
    <w:rsid w:val="009646B5"/>
    <w:rsid w:val="00970DB3"/>
    <w:rsid w:val="00971375"/>
    <w:rsid w:val="00973626"/>
    <w:rsid w:val="00974BB0"/>
    <w:rsid w:val="00975BCD"/>
    <w:rsid w:val="00976FEB"/>
    <w:rsid w:val="009813B8"/>
    <w:rsid w:val="0098513F"/>
    <w:rsid w:val="009928A9"/>
    <w:rsid w:val="009941B2"/>
    <w:rsid w:val="0099488A"/>
    <w:rsid w:val="009A0AF3"/>
    <w:rsid w:val="009B0591"/>
    <w:rsid w:val="009B07CD"/>
    <w:rsid w:val="009B26F3"/>
    <w:rsid w:val="009B5E29"/>
    <w:rsid w:val="009C0260"/>
    <w:rsid w:val="009C19E9"/>
    <w:rsid w:val="009C63F5"/>
    <w:rsid w:val="009D02DC"/>
    <w:rsid w:val="009D479B"/>
    <w:rsid w:val="009D74A6"/>
    <w:rsid w:val="009E0BBC"/>
    <w:rsid w:val="009E0E87"/>
    <w:rsid w:val="009E18B7"/>
    <w:rsid w:val="009F5D7E"/>
    <w:rsid w:val="00A023B8"/>
    <w:rsid w:val="00A10F02"/>
    <w:rsid w:val="00A15270"/>
    <w:rsid w:val="00A204CA"/>
    <w:rsid w:val="00A209D6"/>
    <w:rsid w:val="00A22738"/>
    <w:rsid w:val="00A3167F"/>
    <w:rsid w:val="00A358EE"/>
    <w:rsid w:val="00A3679C"/>
    <w:rsid w:val="00A430EC"/>
    <w:rsid w:val="00A44391"/>
    <w:rsid w:val="00A53724"/>
    <w:rsid w:val="00A54827"/>
    <w:rsid w:val="00A54B2B"/>
    <w:rsid w:val="00A567A0"/>
    <w:rsid w:val="00A56E2A"/>
    <w:rsid w:val="00A60B01"/>
    <w:rsid w:val="00A65E36"/>
    <w:rsid w:val="00A76CE6"/>
    <w:rsid w:val="00A77903"/>
    <w:rsid w:val="00A82346"/>
    <w:rsid w:val="00A84AD3"/>
    <w:rsid w:val="00A87CCA"/>
    <w:rsid w:val="00A9671C"/>
    <w:rsid w:val="00AA1553"/>
    <w:rsid w:val="00AA2672"/>
    <w:rsid w:val="00AA2744"/>
    <w:rsid w:val="00AA3CB2"/>
    <w:rsid w:val="00AA5E35"/>
    <w:rsid w:val="00AA623F"/>
    <w:rsid w:val="00AA68BF"/>
    <w:rsid w:val="00AB024B"/>
    <w:rsid w:val="00AB1C1D"/>
    <w:rsid w:val="00AB3FFE"/>
    <w:rsid w:val="00AB6A10"/>
    <w:rsid w:val="00AC0DED"/>
    <w:rsid w:val="00AC28A8"/>
    <w:rsid w:val="00AC330F"/>
    <w:rsid w:val="00AC45D6"/>
    <w:rsid w:val="00AD3755"/>
    <w:rsid w:val="00AD6599"/>
    <w:rsid w:val="00AE544D"/>
    <w:rsid w:val="00AE67E6"/>
    <w:rsid w:val="00AF5554"/>
    <w:rsid w:val="00B0173F"/>
    <w:rsid w:val="00B05380"/>
    <w:rsid w:val="00B05962"/>
    <w:rsid w:val="00B06CB2"/>
    <w:rsid w:val="00B112BC"/>
    <w:rsid w:val="00B15449"/>
    <w:rsid w:val="00B16C2F"/>
    <w:rsid w:val="00B23557"/>
    <w:rsid w:val="00B23933"/>
    <w:rsid w:val="00B27303"/>
    <w:rsid w:val="00B32470"/>
    <w:rsid w:val="00B4091F"/>
    <w:rsid w:val="00B4635B"/>
    <w:rsid w:val="00B47FD1"/>
    <w:rsid w:val="00B50692"/>
    <w:rsid w:val="00B516BB"/>
    <w:rsid w:val="00B543C6"/>
    <w:rsid w:val="00B62F01"/>
    <w:rsid w:val="00B6611C"/>
    <w:rsid w:val="00B71370"/>
    <w:rsid w:val="00B7538C"/>
    <w:rsid w:val="00B82F79"/>
    <w:rsid w:val="00B84DB2"/>
    <w:rsid w:val="00B87C1B"/>
    <w:rsid w:val="00BA0B58"/>
    <w:rsid w:val="00BA1475"/>
    <w:rsid w:val="00BA3590"/>
    <w:rsid w:val="00BB020E"/>
    <w:rsid w:val="00BB0ADE"/>
    <w:rsid w:val="00BB58A8"/>
    <w:rsid w:val="00BC0D1C"/>
    <w:rsid w:val="00BC3555"/>
    <w:rsid w:val="00BC53A5"/>
    <w:rsid w:val="00BD0F69"/>
    <w:rsid w:val="00BD1305"/>
    <w:rsid w:val="00BD5586"/>
    <w:rsid w:val="00BE22F4"/>
    <w:rsid w:val="00BE2BF3"/>
    <w:rsid w:val="00BE325F"/>
    <w:rsid w:val="00BE4038"/>
    <w:rsid w:val="00BE650E"/>
    <w:rsid w:val="00BE7A92"/>
    <w:rsid w:val="00BF09B9"/>
    <w:rsid w:val="00C12B51"/>
    <w:rsid w:val="00C219A0"/>
    <w:rsid w:val="00C24650"/>
    <w:rsid w:val="00C25465"/>
    <w:rsid w:val="00C30C33"/>
    <w:rsid w:val="00C311F2"/>
    <w:rsid w:val="00C33079"/>
    <w:rsid w:val="00C366C2"/>
    <w:rsid w:val="00C415FC"/>
    <w:rsid w:val="00C454DF"/>
    <w:rsid w:val="00C55A12"/>
    <w:rsid w:val="00C575D5"/>
    <w:rsid w:val="00C63DF2"/>
    <w:rsid w:val="00C6553E"/>
    <w:rsid w:val="00C71CF6"/>
    <w:rsid w:val="00C83A13"/>
    <w:rsid w:val="00C855FF"/>
    <w:rsid w:val="00C86F10"/>
    <w:rsid w:val="00C9068C"/>
    <w:rsid w:val="00C91605"/>
    <w:rsid w:val="00C922D3"/>
    <w:rsid w:val="00C92967"/>
    <w:rsid w:val="00C942E7"/>
    <w:rsid w:val="00C958C5"/>
    <w:rsid w:val="00C96DAB"/>
    <w:rsid w:val="00CA3D0C"/>
    <w:rsid w:val="00CA406C"/>
    <w:rsid w:val="00CA654B"/>
    <w:rsid w:val="00CA6C2C"/>
    <w:rsid w:val="00CA7CF9"/>
    <w:rsid w:val="00CB5236"/>
    <w:rsid w:val="00CB53E8"/>
    <w:rsid w:val="00CB5C9D"/>
    <w:rsid w:val="00CB6F7F"/>
    <w:rsid w:val="00CB72B8"/>
    <w:rsid w:val="00CC6130"/>
    <w:rsid w:val="00CD0BA8"/>
    <w:rsid w:val="00CD4C7B"/>
    <w:rsid w:val="00CD58FE"/>
    <w:rsid w:val="00CE4375"/>
    <w:rsid w:val="00CE5F29"/>
    <w:rsid w:val="00CE7EE3"/>
    <w:rsid w:val="00CF0EB1"/>
    <w:rsid w:val="00CF2D69"/>
    <w:rsid w:val="00CF3163"/>
    <w:rsid w:val="00CF48BF"/>
    <w:rsid w:val="00D02BA8"/>
    <w:rsid w:val="00D06843"/>
    <w:rsid w:val="00D1252B"/>
    <w:rsid w:val="00D16D45"/>
    <w:rsid w:val="00D17F2C"/>
    <w:rsid w:val="00D21890"/>
    <w:rsid w:val="00D25C0B"/>
    <w:rsid w:val="00D32E29"/>
    <w:rsid w:val="00D33BE3"/>
    <w:rsid w:val="00D3792D"/>
    <w:rsid w:val="00D514EB"/>
    <w:rsid w:val="00D55E47"/>
    <w:rsid w:val="00D57FB6"/>
    <w:rsid w:val="00D6175A"/>
    <w:rsid w:val="00D62E19"/>
    <w:rsid w:val="00D641D2"/>
    <w:rsid w:val="00D6476C"/>
    <w:rsid w:val="00D67CD1"/>
    <w:rsid w:val="00D738D6"/>
    <w:rsid w:val="00D80795"/>
    <w:rsid w:val="00D841E5"/>
    <w:rsid w:val="00D854BE"/>
    <w:rsid w:val="00D87E00"/>
    <w:rsid w:val="00D9134D"/>
    <w:rsid w:val="00D9429F"/>
    <w:rsid w:val="00D96D11"/>
    <w:rsid w:val="00DA17A4"/>
    <w:rsid w:val="00DA35E3"/>
    <w:rsid w:val="00DA3CC3"/>
    <w:rsid w:val="00DA4A5C"/>
    <w:rsid w:val="00DA7A03"/>
    <w:rsid w:val="00DB0DB8"/>
    <w:rsid w:val="00DB1818"/>
    <w:rsid w:val="00DB2386"/>
    <w:rsid w:val="00DC309B"/>
    <w:rsid w:val="00DC4DA2"/>
    <w:rsid w:val="00DC5261"/>
    <w:rsid w:val="00DC6EC0"/>
    <w:rsid w:val="00DC76A7"/>
    <w:rsid w:val="00DD39FC"/>
    <w:rsid w:val="00DD64B4"/>
    <w:rsid w:val="00DD6D2B"/>
    <w:rsid w:val="00DD6E4B"/>
    <w:rsid w:val="00DE1B7E"/>
    <w:rsid w:val="00DE25D2"/>
    <w:rsid w:val="00DE5869"/>
    <w:rsid w:val="00DE5E3F"/>
    <w:rsid w:val="00DF20AA"/>
    <w:rsid w:val="00DF2C5D"/>
    <w:rsid w:val="00DF3645"/>
    <w:rsid w:val="00DF7F63"/>
    <w:rsid w:val="00E11964"/>
    <w:rsid w:val="00E16429"/>
    <w:rsid w:val="00E1664C"/>
    <w:rsid w:val="00E16F8B"/>
    <w:rsid w:val="00E20BA5"/>
    <w:rsid w:val="00E240A9"/>
    <w:rsid w:val="00E35D0E"/>
    <w:rsid w:val="00E42B60"/>
    <w:rsid w:val="00E46503"/>
    <w:rsid w:val="00E46C08"/>
    <w:rsid w:val="00E471CF"/>
    <w:rsid w:val="00E52C21"/>
    <w:rsid w:val="00E6160F"/>
    <w:rsid w:val="00E62835"/>
    <w:rsid w:val="00E636DA"/>
    <w:rsid w:val="00E658DE"/>
    <w:rsid w:val="00E6761F"/>
    <w:rsid w:val="00E74F44"/>
    <w:rsid w:val="00E77645"/>
    <w:rsid w:val="00E83697"/>
    <w:rsid w:val="00E859B6"/>
    <w:rsid w:val="00E94739"/>
    <w:rsid w:val="00EA66C9"/>
    <w:rsid w:val="00EB4628"/>
    <w:rsid w:val="00EB78E2"/>
    <w:rsid w:val="00EC2F1E"/>
    <w:rsid w:val="00EC4058"/>
    <w:rsid w:val="00EC4A25"/>
    <w:rsid w:val="00ED1627"/>
    <w:rsid w:val="00EE1BA8"/>
    <w:rsid w:val="00EE7C96"/>
    <w:rsid w:val="00EF612C"/>
    <w:rsid w:val="00F025A2"/>
    <w:rsid w:val="00F036E9"/>
    <w:rsid w:val="00F03D67"/>
    <w:rsid w:val="00F06FB4"/>
    <w:rsid w:val="00F07388"/>
    <w:rsid w:val="00F2026E"/>
    <w:rsid w:val="00F2210A"/>
    <w:rsid w:val="00F22996"/>
    <w:rsid w:val="00F25E26"/>
    <w:rsid w:val="00F263B8"/>
    <w:rsid w:val="00F267E0"/>
    <w:rsid w:val="00F31372"/>
    <w:rsid w:val="00F31C7B"/>
    <w:rsid w:val="00F36A4E"/>
    <w:rsid w:val="00F37743"/>
    <w:rsid w:val="00F401A3"/>
    <w:rsid w:val="00F40429"/>
    <w:rsid w:val="00F40A6D"/>
    <w:rsid w:val="00F4113D"/>
    <w:rsid w:val="00F51581"/>
    <w:rsid w:val="00F54A3D"/>
    <w:rsid w:val="00F54CB0"/>
    <w:rsid w:val="00F579CD"/>
    <w:rsid w:val="00F64585"/>
    <w:rsid w:val="00F653B8"/>
    <w:rsid w:val="00F659BD"/>
    <w:rsid w:val="00F70749"/>
    <w:rsid w:val="00F71B89"/>
    <w:rsid w:val="00F7353C"/>
    <w:rsid w:val="00F73CB1"/>
    <w:rsid w:val="00F757A1"/>
    <w:rsid w:val="00F76F8F"/>
    <w:rsid w:val="00F85CBF"/>
    <w:rsid w:val="00F86AB7"/>
    <w:rsid w:val="00F86B24"/>
    <w:rsid w:val="00F86B2A"/>
    <w:rsid w:val="00F9110F"/>
    <w:rsid w:val="00F941DF"/>
    <w:rsid w:val="00F941E4"/>
    <w:rsid w:val="00F9505C"/>
    <w:rsid w:val="00FA0EAE"/>
    <w:rsid w:val="00FA1266"/>
    <w:rsid w:val="00FA1D7D"/>
    <w:rsid w:val="00FA1DFB"/>
    <w:rsid w:val="00FB2B15"/>
    <w:rsid w:val="00FB36FA"/>
    <w:rsid w:val="00FC0D7D"/>
    <w:rsid w:val="00FC1192"/>
    <w:rsid w:val="00FC252D"/>
    <w:rsid w:val="00FC4A00"/>
    <w:rsid w:val="00FD50BE"/>
    <w:rsid w:val="00FD6C73"/>
    <w:rsid w:val="00FE106D"/>
    <w:rsid w:val="00FE251B"/>
    <w:rsid w:val="33638D92"/>
    <w:rsid w:val="3F5DB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C4E1B3D7-708B-45AE-9119-EF60296C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1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7324"/>
    <w:pPr>
      <w:ind w:left="720"/>
      <w:contextualSpacing/>
    </w:pPr>
  </w:style>
  <w:style w:type="character" w:styleId="CommentReference">
    <w:name w:val="annotation reference"/>
    <w:basedOn w:val="DefaultParagraphFont"/>
    <w:rsid w:val="006B6DAA"/>
    <w:rPr>
      <w:sz w:val="16"/>
      <w:szCs w:val="16"/>
    </w:rPr>
  </w:style>
  <w:style w:type="paragraph" w:styleId="CommentText">
    <w:name w:val="annotation text"/>
    <w:basedOn w:val="Normal"/>
    <w:link w:val="CommentTextChar"/>
    <w:rsid w:val="006B6DAA"/>
  </w:style>
  <w:style w:type="character" w:customStyle="1" w:styleId="CommentTextChar">
    <w:name w:val="Comment Text Char"/>
    <w:basedOn w:val="DefaultParagraphFont"/>
    <w:link w:val="CommentText"/>
    <w:rsid w:val="006B6DAA"/>
    <w:rPr>
      <w:lang w:eastAsia="en-US"/>
    </w:rPr>
  </w:style>
  <w:style w:type="paragraph" w:styleId="CommentSubject">
    <w:name w:val="annotation subject"/>
    <w:basedOn w:val="CommentText"/>
    <w:next w:val="CommentText"/>
    <w:link w:val="CommentSubjectChar"/>
    <w:rsid w:val="006B6DAA"/>
    <w:rPr>
      <w:b/>
      <w:bCs/>
    </w:rPr>
  </w:style>
  <w:style w:type="character" w:customStyle="1" w:styleId="CommentSubjectChar">
    <w:name w:val="Comment Subject Char"/>
    <w:basedOn w:val="CommentTextChar"/>
    <w:link w:val="CommentSubject"/>
    <w:rsid w:val="006B6DAA"/>
    <w:rPr>
      <w:b/>
      <w:bCs/>
      <w:lang w:eastAsia="en-US"/>
    </w:rPr>
  </w:style>
  <w:style w:type="paragraph" w:styleId="Caption">
    <w:name w:val="caption"/>
    <w:basedOn w:val="Normal"/>
    <w:next w:val="Normal"/>
    <w:unhideWhenUsed/>
    <w:qFormat/>
    <w:rsid w:val="00C855FF"/>
    <w:pPr>
      <w:spacing w:after="200"/>
    </w:pPr>
    <w:rPr>
      <w:i/>
      <w:iCs/>
      <w:color w:val="44546A" w:themeColor="text2"/>
      <w:sz w:val="18"/>
      <w:szCs w:val="18"/>
    </w:rPr>
  </w:style>
  <w:style w:type="character" w:styleId="Mention">
    <w:name w:val="Mention"/>
    <w:basedOn w:val="DefaultParagraphFont"/>
    <w:uiPriority w:val="99"/>
    <w:unhideWhenUsed/>
    <w:rsid w:val="00081620"/>
    <w:rPr>
      <w:color w:val="2B579A"/>
      <w:shd w:val="clear" w:color="auto" w:fill="E1DFDD"/>
    </w:rPr>
  </w:style>
  <w:style w:type="character" w:customStyle="1" w:styleId="normaltextrun">
    <w:name w:val="normaltextrun"/>
    <w:basedOn w:val="DefaultParagraphFont"/>
    <w:rsid w:val="00B40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stanczak/Data/3GPP/Extracts/R2-2100744.do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5AIRPNAIUNRU-859666464-9286</_dlc_DocId>
    <_dlc_DocIdUrl xmlns="71c5aaf6-e6ce-465b-b873-5148d2a4c105">
      <Url>https://nokia.sharepoint.com/sites/c5g/e2earch/_layouts/15/DocIdRedir.aspx?ID=5AIRPNAIUNRU-859666464-9286</Url>
      <Description>5AIRPNAIUNRU-859666464-9286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A40FBC0-AF5B-4F70-99B3-B58B8A9F9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1</Pages>
  <Words>2414</Words>
  <Characters>13764</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16146</CharactersWithSpaces>
  <SharedDoc>false</SharedDoc>
  <HyperlinkBase/>
  <HLinks>
    <vt:vector size="6" baseType="variant">
      <vt:variant>
        <vt:i4>3866685</vt:i4>
      </vt:variant>
      <vt:variant>
        <vt:i4>3</vt:i4>
      </vt:variant>
      <vt:variant>
        <vt:i4>0</vt:i4>
      </vt:variant>
      <vt:variant>
        <vt:i4>5</vt:i4>
      </vt:variant>
      <vt:variant>
        <vt:lpwstr>C:\Users\stanczak\Data\3GPP\Extracts\R2-2100744.doc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Stanczak, Jedrzej (Nokia - PL/Wroclaw)</cp:lastModifiedBy>
  <cp:revision>437</cp:revision>
  <dcterms:created xsi:type="dcterms:W3CDTF">2021-03-16T20:34:00Z</dcterms:created>
  <dcterms:modified xsi:type="dcterms:W3CDTF">2021-08-05T22:13:00Z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447e04a3-b167-4a11-a424-cd97b05bd6fd</vt:lpwstr>
  </property>
</Properties>
</file>